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22"/>
          <w:szCs w:val="22"/>
        </w:rPr>
      </w:pPr>
      <w:r>
        <w:rPr>
          <w:sz w:val="22"/>
          <w:szCs w:val="22"/>
        </w:rPr>
        <w:drawing>
          <wp:anchor behindDoc="0" distT="0" distB="0" distL="0" distR="0" simplePos="0" locked="0" layoutInCell="0" allowOverlap="1" relativeHeight="2">
            <wp:simplePos x="0" y="0"/>
            <wp:positionH relativeFrom="column">
              <wp:posOffset>-635</wp:posOffset>
            </wp:positionH>
            <wp:positionV relativeFrom="paragraph">
              <wp:posOffset>-471805</wp:posOffset>
            </wp:positionV>
            <wp:extent cx="6755765" cy="1403350"/>
            <wp:effectExtent l="0" t="0" r="0" b="0"/>
            <wp:wrapSquare wrapText="righ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6755765" cy="1403350"/>
                    </a:xfrm>
                    <a:prstGeom prst="rect">
                      <a:avLst/>
                    </a:prstGeom>
                  </pic:spPr>
                </pic:pic>
              </a:graphicData>
            </a:graphic>
          </wp:anchor>
        </w:drawing>
      </w:r>
    </w:p>
    <w:p>
      <w:pPr>
        <w:pStyle w:val="Normal"/>
        <w:rPr>
          <w:rFonts w:ascii="Calibri Light" w:hAnsi="Calibri Light"/>
        </w:rPr>
      </w:pPr>
      <w:r>
        <w:rPr/>
      </w:r>
    </w:p>
    <w:p>
      <w:pPr>
        <w:pStyle w:val="Normal"/>
        <w:rPr>
          <w:rFonts w:ascii="Calibri Light" w:hAnsi="Calibri Light"/>
        </w:rPr>
      </w:pPr>
      <w:r>
        <w:rPr/>
      </w:r>
    </w:p>
    <w:p>
      <w:pPr>
        <w:pStyle w:val="Normal"/>
        <w:rPr>
          <w:rFonts w:ascii="Calibri Light" w:hAnsi="Calibri Light"/>
        </w:rPr>
      </w:pPr>
      <w:r>
        <w:rPr/>
      </w:r>
    </w:p>
    <w:p>
      <w:pPr>
        <w:pStyle w:val="Normal"/>
        <w:rPr>
          <w:rFonts w:ascii="Calibri Light" w:hAnsi="Calibri Light"/>
        </w:rPr>
      </w:pPr>
      <w:r>
        <w:rPr/>
      </w:r>
    </w:p>
    <w:p>
      <w:pPr>
        <w:pStyle w:val="Normal"/>
        <w:rPr>
          <w:rFonts w:ascii="Calibri Light" w:hAnsi="Calibri Light"/>
        </w:rPr>
      </w:pPr>
      <w:r>
        <w:rPr/>
      </w:r>
    </w:p>
    <w:p>
      <w:pPr>
        <w:pStyle w:val="Normal"/>
        <w:rPr>
          <w:rFonts w:ascii="Calibri Light" w:hAnsi="Calibri Light"/>
        </w:rPr>
      </w:pPr>
      <w:r>
        <w:rPr/>
      </w:r>
    </w:p>
    <w:p>
      <w:pPr>
        <w:pStyle w:val="Normal"/>
        <w:rPr>
          <w:rFonts w:ascii="Calibri Light" w:hAnsi="Calibri Light"/>
        </w:rPr>
      </w:pPr>
      <w:r>
        <w:rPr>
          <w:sz w:val="22"/>
          <w:szCs w:val="22"/>
        </w:rPr>
        <w:t>Entre,</w:t>
      </w:r>
    </w:p>
    <w:p>
      <w:pPr>
        <w:pStyle w:val="Normal"/>
        <w:rPr>
          <w:rFonts w:ascii="Calibri Light" w:hAnsi="Calibri Light"/>
          <w:sz w:val="22"/>
          <w:szCs w:val="22"/>
        </w:rPr>
      </w:pPr>
      <w:r>
        <w:rPr>
          <w:sz w:val="22"/>
          <w:szCs w:val="22"/>
        </w:rPr>
        <w:t>Le Centre de Gestion de la Fonction Publique Territoriale de la Lozère sis 11 boulevard des Capucins, 48000 MENDE, représenté par son Président, Monsieur Laurent SUAU, dûment habilité par délibération du 23 octobre 2020</w:t>
      </w:r>
    </w:p>
    <w:p>
      <w:pPr>
        <w:pStyle w:val="Normal"/>
        <w:rPr/>
      </w:pPr>
      <w:r>
        <w:rPr>
          <w:rStyle w:val="Strong"/>
          <w:sz w:val="22"/>
          <w:szCs w:val="22"/>
        </w:rPr>
        <w:t>D’une part,</w:t>
      </w:r>
    </w:p>
    <w:p>
      <w:pPr>
        <w:pStyle w:val="Normal"/>
        <w:rPr>
          <w:rFonts w:ascii="Calibri Light" w:hAnsi="Calibri Light"/>
          <w:sz w:val="22"/>
          <w:szCs w:val="22"/>
        </w:rPr>
      </w:pPr>
      <w:r>
        <w:rPr>
          <w:sz w:val="22"/>
          <w:szCs w:val="22"/>
        </w:rPr>
      </w:r>
    </w:p>
    <w:p>
      <w:pPr>
        <w:pStyle w:val="Normal"/>
        <w:rPr/>
      </w:pPr>
      <w:r>
        <w:rPr>
          <w:rStyle w:val="Strong"/>
          <w:sz w:val="22"/>
          <w:szCs w:val="22"/>
        </w:rPr>
        <w:t>Et,</w:t>
      </w:r>
    </w:p>
    <w:p>
      <w:pPr>
        <w:pStyle w:val="BodyText2"/>
        <w:spacing w:lineRule="auto" w:line="240" w:before="0" w:after="0"/>
        <w:rPr>
          <w:rFonts w:ascii="Calibri Light" w:hAnsi="Calibri Light"/>
          <w:sz w:val="22"/>
          <w:szCs w:val="22"/>
        </w:rPr>
      </w:pPr>
      <w:r>
        <w:rPr>
          <w:sz w:val="22"/>
          <w:szCs w:val="22"/>
        </w:rPr>
        <w:t>La collectivité désignée ci-après………………………………………………………………………………………………………. représentée par son …………………………………………………. , M…………………………………………………………………………………………………..</w:t>
      </w:r>
    </w:p>
    <w:p>
      <w:pPr>
        <w:pStyle w:val="Normal"/>
        <w:rPr/>
      </w:pPr>
      <w:r>
        <w:rPr>
          <w:rStyle w:val="Strong"/>
          <w:sz w:val="22"/>
          <w:szCs w:val="22"/>
        </w:rPr>
        <w:t>D’autre part.</w:t>
      </w:r>
    </w:p>
    <w:p>
      <w:pPr>
        <w:pStyle w:val="Normal"/>
        <w:rPr>
          <w:rFonts w:ascii="Calibri Light" w:hAnsi="Calibri Light"/>
          <w:sz w:val="22"/>
          <w:szCs w:val="22"/>
        </w:rPr>
      </w:pPr>
      <w:r>
        <w:rPr>
          <w:sz w:val="22"/>
          <w:szCs w:val="22"/>
        </w:rPr>
      </w:r>
    </w:p>
    <w:p>
      <w:pPr>
        <w:pStyle w:val="Normal"/>
        <w:spacing w:lineRule="auto" w:line="240" w:before="60" w:after="0"/>
        <w:rPr>
          <w:rFonts w:ascii="Calibri Light" w:hAnsi="Calibri Light"/>
          <w:sz w:val="22"/>
          <w:szCs w:val="22"/>
        </w:rPr>
      </w:pPr>
      <w:r>
        <w:rPr>
          <w:rFonts w:eastAsia="Times New Roman" w:cs="Calibri"/>
          <w:b/>
          <w:bCs/>
          <w:kern w:val="0"/>
          <w:sz w:val="22"/>
          <w:szCs w:val="22"/>
          <w:lang w:eastAsia="fr-FR"/>
          <w14:ligatures w14:val="none"/>
        </w:rPr>
        <w:t>Vu</w:t>
      </w:r>
      <w:r>
        <w:rPr>
          <w:rFonts w:eastAsia="Times New Roman" w:cs="Calibri"/>
          <w:kern w:val="0"/>
          <w:sz w:val="22"/>
          <w:szCs w:val="22"/>
          <w:lang w:eastAsia="fr-FR"/>
          <w14:ligatures w14:val="none"/>
        </w:rPr>
        <w:t xml:space="preserve"> le code général de la fonction publique, notamment ses articles L. 452-30 et L. 452-40 ;</w:t>
      </w:r>
    </w:p>
    <w:p>
      <w:pPr>
        <w:pStyle w:val="Normal"/>
        <w:spacing w:lineRule="auto" w:line="240" w:before="60" w:after="0"/>
        <w:rPr>
          <w:rFonts w:ascii="Calibri Light" w:hAnsi="Calibri Light"/>
          <w:sz w:val="22"/>
          <w:szCs w:val="22"/>
        </w:rPr>
      </w:pPr>
      <w:r>
        <w:rPr>
          <w:rFonts w:eastAsia="Times New Roman" w:cs="Calibri"/>
          <w:b/>
          <w:bCs/>
          <w:kern w:val="0"/>
          <w:sz w:val="22"/>
          <w:szCs w:val="22"/>
          <w:lang w:eastAsia="fr-FR"/>
          <w14:ligatures w14:val="none"/>
        </w:rPr>
        <w:t>Vu</w:t>
      </w:r>
      <w:r>
        <w:rPr>
          <w:rFonts w:eastAsia="Times New Roman" w:cs="Calibri"/>
          <w:kern w:val="0"/>
          <w:sz w:val="22"/>
          <w:szCs w:val="22"/>
          <w:lang w:eastAsia="fr-FR"/>
          <w14:ligatures w14:val="none"/>
        </w:rPr>
        <w:t xml:space="preserve"> le code général des collectivités territoriales, notamment ses articles L. 1111-1-1 et R. 1111-1-A. à R. 1111-1-D ;</w:t>
      </w:r>
    </w:p>
    <w:p>
      <w:pPr>
        <w:pStyle w:val="Normal"/>
        <w:spacing w:lineRule="auto" w:line="240" w:before="60" w:after="0"/>
        <w:rPr>
          <w:rFonts w:ascii="Calibri Light" w:hAnsi="Calibri Light"/>
          <w:sz w:val="22"/>
          <w:szCs w:val="22"/>
        </w:rPr>
      </w:pPr>
      <w:r>
        <w:rPr>
          <w:rFonts w:eastAsia="Times New Roman" w:cs="Calibri"/>
          <w:b/>
          <w:bCs/>
          <w:kern w:val="0"/>
          <w:sz w:val="22"/>
          <w:szCs w:val="22"/>
          <w:lang w:eastAsia="fr-FR"/>
          <w14:ligatures w14:val="none"/>
        </w:rPr>
        <w:t>Vu</w:t>
      </w:r>
      <w:r>
        <w:rPr>
          <w:rFonts w:eastAsia="Times New Roman" w:cs="Calibri"/>
          <w:kern w:val="0"/>
          <w:sz w:val="22"/>
          <w:szCs w:val="22"/>
          <w:lang w:eastAsia="fr-FR"/>
          <w14:ligatures w14:val="none"/>
        </w:rPr>
        <w:t xml:space="preserve"> l’arrêté du 6 décembre 2022 pris en application du décret n° 2022-1520 du 6 décembre 2022 relatif au référent déontologue de l'élu local ;</w:t>
      </w:r>
    </w:p>
    <w:p>
      <w:pPr>
        <w:pStyle w:val="Normal"/>
        <w:spacing w:lineRule="auto" w:line="240" w:before="60" w:after="0"/>
        <w:rPr>
          <w:rFonts w:ascii="Calibri Light" w:hAnsi="Calibri Light"/>
          <w:sz w:val="22"/>
          <w:szCs w:val="22"/>
        </w:rPr>
      </w:pPr>
      <w:r>
        <w:rPr>
          <w:rFonts w:eastAsia="Times New Roman" w:cs="Calibri"/>
          <w:b/>
          <w:bCs/>
          <w:kern w:val="0"/>
          <w:sz w:val="22"/>
          <w:szCs w:val="22"/>
          <w:lang w:eastAsia="fr-FR"/>
          <w14:ligatures w14:val="none"/>
        </w:rPr>
        <w:t>Vu</w:t>
      </w:r>
      <w:r>
        <w:rPr>
          <w:rFonts w:eastAsia="Times New Roman" w:cs="Calibri"/>
          <w:kern w:val="0"/>
          <w:sz w:val="22"/>
          <w:szCs w:val="22"/>
          <w:lang w:eastAsia="fr-FR"/>
          <w14:ligatures w14:val="none"/>
        </w:rPr>
        <w:t xml:space="preserve"> la délibération n°2024-039 du 12/07/2024 du Conseil d’administration du Centre de Gestion de la Lozère.</w:t>
      </w:r>
    </w:p>
    <w:p>
      <w:pPr>
        <w:pStyle w:val="Normal"/>
        <w:spacing w:lineRule="auto" w:line="240" w:before="0" w:after="0"/>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BodyText"/>
        <w:rPr/>
      </w:pPr>
      <w:r>
        <w:rPr>
          <w:rFonts w:cs="Calibri"/>
          <w:b/>
          <w:bCs/>
        </w:rPr>
        <w:t xml:space="preserve">IL A ÉTÉ CONVENU ET ARRÊTÉ CE QUI SUIT </w:t>
      </w:r>
      <w:r>
        <w:rPr>
          <w:rFonts w:cs="Calibri"/>
          <w:b w:val="false"/>
          <w:bCs w:val="false"/>
        </w:rPr>
        <w:t>:</w:t>
      </w:r>
    </w:p>
    <w:p>
      <w:pPr>
        <w:pStyle w:val="Normal"/>
        <w:spacing w:lineRule="auto" w:line="240" w:before="0" w:after="0"/>
        <w:rPr>
          <w:rFonts w:ascii="Calibri Light" w:hAnsi="Calibri Light" w:eastAsia="Times New Roman" w:cs="Calibri"/>
          <w:kern w:val="0"/>
          <w:sz w:val="22"/>
          <w:szCs w:val="22"/>
          <w:u w:val="single"/>
          <w:lang w:eastAsia="fr-FR"/>
          <w14:ligatures w14:val="none"/>
        </w:rPr>
      </w:pPr>
      <w:r>
        <w:rPr>
          <w:rFonts w:eastAsia="Times New Roman" w:cs="Calibri"/>
          <w:kern w:val="0"/>
          <w:sz w:val="22"/>
          <w:szCs w:val="22"/>
          <w:u w:val="single"/>
          <w:lang w:eastAsia="fr-FR"/>
          <w14:ligatures w14:val="none"/>
        </w:rPr>
      </w:r>
    </w:p>
    <w:p>
      <w:pPr>
        <w:pStyle w:val="Normal"/>
        <w:spacing w:lineRule="auto" w:line="240" w:before="0" w:after="120"/>
        <w:jc w:val="both"/>
        <w:rPr>
          <w:rFonts w:ascii="Calibri Light" w:hAnsi="Calibri Light"/>
          <w:sz w:val="22"/>
          <w:szCs w:val="22"/>
        </w:rPr>
      </w:pPr>
      <w:r>
        <w:rPr>
          <w:rFonts w:eastAsia="Times New Roman" w:cs="Calibri"/>
          <w:b/>
          <w:bCs/>
          <w:kern w:val="0"/>
          <w:sz w:val="22"/>
          <w:szCs w:val="22"/>
          <w:lang w:eastAsia="fr-FR"/>
          <w14:ligatures w14:val="none"/>
        </w:rPr>
        <w:t>Article 1 : Mission du référent déontologue des élus locaux</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Tout élu local de la collectivité peut consulter le référent déontologue du Centre de Gestion qui est chargé de lui apporter tout conseil utile au respect des principes déontologiques suivants :</w:t>
      </w:r>
    </w:p>
    <w:p>
      <w:pPr>
        <w:pStyle w:val="Normal"/>
        <w:spacing w:lineRule="auto" w:line="240" w:before="0" w:after="0"/>
        <w:jc w:val="both"/>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1. L'élu local exerce ses fonctions avec impartialité, diligence, dignité, probité et intégrité.</w:t>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2. Dans l'exercice de son mandat, l'élu local poursuit le seul intérêt général, à l'exclusion de tout intérêt qui lui soit personnel, directement ou indirectement, ou de tout autre intérêt particulier.</w:t>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3. L'élu local veille à prévenir ou à faire cesser immédiatement tout conflit d'intérêts. Lorsque ses intérêts personnels sont en cause dans les affaires soumises à l'organe délibérant dont il est</w:t>
        <w:br/>
        <w:t>membre, l'élu local s'engage à les faire connaître avant le débat et le vote.</w:t>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4. L'élu local s'engage à ne pas utiliser les ressources et les moyens mis à sa disposition pour l'exercice de son mandat ou de ses fonctions à d'autres fins.</w:t>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5. Dans l'exercice de ses fonctions, l'élu local s'abstient de prendre des mesures lui accordant un avantage personnel ou professionnel futur après la cessation de son mandat et de ses fonctions.</w:t>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6. L'élu local participe avec assiduité aux réunions de l'organe délibérant et des instances au sein desquelles il a été désigné.</w:t>
      </w:r>
    </w:p>
    <w:p>
      <w:pPr>
        <w:pStyle w:val="Normal"/>
        <w:spacing w:lineRule="auto" w:line="240" w:before="0" w:after="60"/>
        <w:ind w:left="284"/>
        <w:jc w:val="both"/>
        <w:rPr>
          <w:rFonts w:ascii="Calibri Light" w:hAnsi="Calibri Light"/>
          <w:sz w:val="22"/>
          <w:szCs w:val="22"/>
        </w:rPr>
      </w:pPr>
      <w:r>
        <w:rPr>
          <w:rFonts w:eastAsia="Times New Roman" w:cs="Calibri"/>
          <w:kern w:val="0"/>
          <w:sz w:val="22"/>
          <w:szCs w:val="22"/>
          <w:lang w:eastAsia="fr-FR"/>
          <w14:ligatures w14:val="none"/>
        </w:rPr>
        <w:t xml:space="preserve">7. Issu du suffrage universel, l'élu local est et reste responsable de ses actes pour la durée de son mandat devant l'ensemble des citoyens de la collectivité territoriale, à qui il rend compte des actes et décisions pris dans le cadre de ses fonctions. </w:t>
      </w:r>
    </w:p>
    <w:p>
      <w:pPr>
        <w:pStyle w:val="Normal"/>
        <w:tabs>
          <w:tab w:val="clear" w:pos="708"/>
          <w:tab w:val="left" w:pos="6195" w:leader="none"/>
        </w:tabs>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ab/>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Les conseils rendus par le référent déontologue ne font pas grief et ne sont pas susceptibles de recours, ils n’ont pas de caractère obligatoire pour leurs destinataires et en sens inverse ne leur confèrent aucun droit.</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 référent déontologue peut rédiger des guides, chartes ou recommandations permettant d’informer les élus locaux sur les principes déontologiques qui s’appliquent dans le cadre de leurs fonctions.</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 référent déontologue rédige un rapport annuel d’activités, assorti de propositions et de préconisations.</w:t>
        <w:b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2 : Modalités d'exercice du référent déontologue des élus locaux</w:t>
      </w:r>
    </w:p>
    <w:p>
      <w:pPr>
        <w:pStyle w:val="Normal"/>
        <w:spacing w:lineRule="auto" w:line="240" w:before="120" w:after="0"/>
        <w:jc w:val="both"/>
        <w:rPr>
          <w:rFonts w:ascii="Calibri Light" w:hAnsi="Calibri Light"/>
          <w:sz w:val="22"/>
          <w:szCs w:val="22"/>
        </w:rPr>
      </w:pPr>
      <w:r>
        <w:rPr>
          <w:rFonts w:eastAsia="Times New Roman" w:cs="Calibri"/>
          <w:kern w:val="0"/>
          <w:sz w:val="22"/>
          <w:szCs w:val="22"/>
          <w:lang w:eastAsia="fr-FR"/>
          <w14:ligatures w14:val="none"/>
        </w:rPr>
        <w:t>Les missions de référent déontologue des élus locaux sont exercées par une personne désignée par le Président du Centre de Gestion en raison de son expérience et de ses compétences.</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Ce référent déontologue des élus locaux statut en référent unique.</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 référent déontologue des élus locaux est soumis à l’obligation de secret professionnel et fait preuve de discrétion et assure de manière indépendante et impartiale le traitement des saisines. Toutes les questions et réponses apportées, ainsi que les différents échanges avec l’élus, sont confidentiels.</w:t>
      </w:r>
    </w:p>
    <w:p>
      <w:pPr>
        <w:pStyle w:val="Normal"/>
        <w:spacing w:lineRule="auto" w:line="240" w:before="0" w:after="0"/>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3 : Saisine du référent déontologue des élus locaux</w:t>
      </w:r>
    </w:p>
    <w:p>
      <w:pPr>
        <w:pStyle w:val="Normal"/>
        <w:spacing w:lineRule="auto" w:line="240" w:before="120" w:after="0"/>
        <w:jc w:val="both"/>
        <w:rPr/>
      </w:pPr>
      <w:r>
        <w:rPr>
          <w:rFonts w:eastAsia="Times New Roman" w:cs="Calibri"/>
          <w:kern w:val="0"/>
          <w:sz w:val="22"/>
          <w:szCs w:val="22"/>
          <w:lang w:eastAsia="fr-FR"/>
          <w14:ligatures w14:val="none"/>
        </w:rPr>
        <w:t xml:space="preserve">L’élu de la collectivité pourra saisir le référent déontologue par le biais d’un formulaire mis à sa disposition sur le site internet du Centre de Gestion, </w:t>
      </w:r>
      <w:hyperlink r:id="rId3">
        <w:r>
          <w:rPr>
            <w:rStyle w:val="Hyperlink"/>
            <w:rFonts w:eastAsia="Times New Roman" w:cs="Calibri"/>
            <w:kern w:val="0"/>
            <w:sz w:val="22"/>
            <w:szCs w:val="22"/>
            <w:lang w:eastAsia="fr-FR"/>
            <w14:ligatures w14:val="none"/>
          </w:rPr>
          <w:t>www.cdg48.fr</w:t>
        </w:r>
      </w:hyperlink>
      <w:r>
        <w:rPr>
          <w:rFonts w:eastAsia="Times New Roman" w:cs="Calibri"/>
          <w:kern w:val="0"/>
          <w:sz w:val="22"/>
          <w:szCs w:val="22"/>
          <w:lang w:eastAsia="fr-FR"/>
          <w14:ligatures w14:val="none"/>
        </w:rPr>
        <w:t>.</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 référent déontologue des élus locaux doit accuser réception de cette demande dans un délai maximum de deux semaines.</w:t>
      </w:r>
    </w:p>
    <w:p>
      <w:pPr>
        <w:pStyle w:val="Normal"/>
        <w:spacing w:lineRule="auto" w:line="240" w:before="0" w:after="0"/>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4 : Conditions financières</w:t>
      </w:r>
    </w:p>
    <w:p>
      <w:pPr>
        <w:pStyle w:val="Normal"/>
        <w:spacing w:lineRule="auto" w:line="240" w:before="120" w:after="0"/>
        <w:rPr>
          <w:rFonts w:ascii="Calibri Light" w:hAnsi="Calibri Light"/>
          <w:sz w:val="22"/>
          <w:szCs w:val="22"/>
        </w:rPr>
      </w:pPr>
      <w:r>
        <w:rPr>
          <w:rFonts w:eastAsia="Times New Roman" w:cs="Calibri"/>
          <w:kern w:val="0"/>
          <w:sz w:val="22"/>
          <w:szCs w:val="22"/>
          <w:lang w:eastAsia="fr-FR"/>
          <w14:ligatures w14:val="none"/>
        </w:rPr>
        <w:t>La collectivité s’engage à verser au Centre de Gestion une contribution calculée sur la base d’un tarif de :</w:t>
      </w:r>
    </w:p>
    <w:p>
      <w:pPr>
        <w:pStyle w:val="ListParagraph"/>
        <w:numPr>
          <w:ilvl w:val="0"/>
          <w:numId w:val="1"/>
        </w:numPr>
        <w:spacing w:lineRule="auto" w:line="240" w:before="120" w:after="0"/>
        <w:contextualSpacing/>
        <w:rPr>
          <w:rFonts w:ascii="Calibri Light" w:hAnsi="Calibri Light"/>
          <w:sz w:val="22"/>
          <w:szCs w:val="22"/>
        </w:rPr>
      </w:pPr>
      <w:r>
        <w:rPr>
          <w:rFonts w:eastAsia="Times New Roman" w:cs="Calibri"/>
          <w:color w:themeColor="text1" w:val="000000"/>
          <w:kern w:val="0"/>
          <w:sz w:val="22"/>
          <w:szCs w:val="22"/>
          <w:lang w:eastAsia="fr-FR"/>
          <w14:ligatures w14:val="none"/>
        </w:rPr>
        <w:t>90 € par saisine traitée pour les collectivités affiliées.</w:t>
      </w:r>
    </w:p>
    <w:p>
      <w:pPr>
        <w:pStyle w:val="ListParagraph"/>
        <w:spacing w:lineRule="auto" w:line="240" w:before="0" w:after="0"/>
        <w:ind w:hanging="0" w:left="0"/>
        <w:contextualSpacing/>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ListParagraph"/>
        <w:spacing w:lineRule="auto" w:line="240" w:before="0" w:after="0"/>
        <w:ind w:hanging="0" w:left="0"/>
        <w:contextualSpacing/>
        <w:jc w:val="both"/>
        <w:rPr>
          <w:rFonts w:ascii="Calibri Light" w:hAnsi="Calibri Light"/>
          <w:sz w:val="22"/>
          <w:szCs w:val="22"/>
        </w:rPr>
      </w:pPr>
      <w:r>
        <w:rPr>
          <w:rFonts w:eastAsia="Times New Roman" w:cs="Calibri"/>
          <w:kern w:val="0"/>
          <w:sz w:val="22"/>
          <w:szCs w:val="22"/>
          <w:lang w:eastAsia="fr-FR"/>
          <w14:ligatures w14:val="none"/>
        </w:rPr>
        <w:t>Lorsque la saisine est jugée non recevable, aucune facturation n’est appliquée.</w:t>
      </w:r>
    </w:p>
    <w:p>
      <w:pPr>
        <w:pStyle w:val="ListParagraph"/>
        <w:spacing w:lineRule="auto" w:line="240" w:before="0" w:after="0"/>
        <w:ind w:hanging="0" w:left="0"/>
        <w:contextualSpacing/>
        <w:jc w:val="both"/>
        <w:rPr>
          <w:rFonts w:ascii="Calibri Light" w:hAnsi="Calibri Light"/>
          <w:sz w:val="22"/>
          <w:szCs w:val="22"/>
        </w:rPr>
      </w:pPr>
      <w:r>
        <w:rPr>
          <w:rFonts w:eastAsia="Times New Roman" w:cs="Calibri"/>
          <w:kern w:val="0"/>
          <w:sz w:val="22"/>
          <w:szCs w:val="22"/>
          <w:lang w:eastAsia="fr-FR"/>
          <w14:ligatures w14:val="none"/>
        </w:rPr>
        <w:t>Ces contributions font l’objet de titres de recettes établis par le Centre de Gestion accompagnés d’un état détaillant le nombre de saisines traitées par le Centre de Gestion et facturées à la collectivité.</w:t>
        <w:br/>
        <w:t>Ces conditions financières sont susceptibles d’être actualisées annuellement par le conseil</w:t>
        <w:br/>
        <w:t>d’administration du Centre de Gestion, pour application à partir du 1er janvier de l’exercice suivant. Cette actualisation fait l’objet d’un avenant à la présente convention.</w:t>
      </w:r>
    </w:p>
    <w:p>
      <w:pPr>
        <w:pStyle w:val="Normal"/>
        <w:spacing w:lineRule="auto" w:line="240" w:before="0" w:after="0"/>
        <w:rPr>
          <w:rFonts w:ascii="Calibri Light" w:hAnsi="Calibri Light" w:eastAsia="Times New Roman" w:cs="Calibri"/>
          <w:b/>
          <w:bCs/>
          <w:kern w:val="0"/>
          <w:sz w:val="22"/>
          <w:szCs w:val="22"/>
          <w:u w:val="single"/>
          <w:lang w:eastAsia="fr-FR"/>
          <w14:ligatures w14:val="none"/>
        </w:rPr>
      </w:pPr>
      <w:r>
        <w:rPr>
          <w:rFonts w:eastAsia="Times New Roman" w:cs="Calibri"/>
          <w:b/>
          <w:bCs/>
          <w:kern w:val="0"/>
          <w:sz w:val="22"/>
          <w:szCs w:val="22"/>
          <w:u w:val="single"/>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5 : Protection des données à caractère personnel</w:t>
      </w:r>
    </w:p>
    <w:p>
      <w:pPr>
        <w:pStyle w:val="Normal"/>
        <w:spacing w:lineRule="auto" w:line="240" w:before="120" w:after="0"/>
        <w:jc w:val="both"/>
        <w:rPr>
          <w:rFonts w:ascii="Calibri Light" w:hAnsi="Calibri Light"/>
          <w:sz w:val="22"/>
          <w:szCs w:val="22"/>
        </w:rPr>
      </w:pPr>
      <w:r>
        <w:rPr>
          <w:rFonts w:eastAsia="Times New Roman" w:cs="Calibri"/>
          <w:kern w:val="0"/>
          <w:sz w:val="22"/>
          <w:szCs w:val="22"/>
          <w:lang w:eastAsia="fr-FR"/>
          <w14:ligatures w14:val="none"/>
        </w:rPr>
        <w:t>Les données personnelles collectées sont utilisées pour recueillir les saisines des élus et leur apporter tout conseil utile au respect des principes déontologiques.</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 dispositif est mis en œuvre pour répondre aux exigences du code général des collectivités territoriales, notamment ses articles L. 1111-1-1 et R. 1111-1-A. à R. 1111-1-D.</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 traitement est confidentiel, à destination du collège de référents déontologue.</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Les données transmises sont strictement proportionnées à la poursuite des finalités du signalement.</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Elles ne sont pas conservées au-delà d’une période de 12 mois à compter de la date de réponse apportée. Au terme de ce délai, les éléments tant en termes de questionnement que de réponse après anonymisation pourront être utilisés à des fins statistiques sans qu’il soit possible d’en identifier la personne à l’origine.</w:t>
      </w:r>
    </w:p>
    <w:p>
      <w:pPr>
        <w:pStyle w:val="Normal"/>
        <w:spacing w:before="0" w:after="60"/>
        <w:rPr>
          <w:highlight w:val="none"/>
          <w:shd w:fill="auto" w:val="clear"/>
        </w:rPr>
      </w:pPr>
      <w:r>
        <w:rPr>
          <w:rFonts w:eastAsia="Times New Roman" w:cs="Calibri"/>
          <w:kern w:val="0"/>
          <w:sz w:val="22"/>
          <w:szCs w:val="22"/>
          <w:shd w:fill="auto" w:val="clear"/>
          <w:lang w:eastAsia="fr-FR"/>
          <w14:ligatures w14:val="none"/>
        </w:rPr>
        <w:t xml:space="preserve">Conformément à la loi « informatique et libertés » n°78-17 du 6 janvier 1978 et au règlement (UE) 2016/679 du Parlement européen et </w:t>
      </w:r>
      <w:r>
        <w:rPr>
          <w:rFonts w:eastAsia="Times New Roman" w:cs="Calibri"/>
          <w:color w:themeColor="text1" w:val="000000"/>
          <w:kern w:val="0"/>
          <w:sz w:val="22"/>
          <w:szCs w:val="22"/>
          <w:shd w:fill="auto" w:val="clear"/>
          <w:lang w:eastAsia="fr-FR"/>
          <w14:ligatures w14:val="none"/>
        </w:rPr>
        <w:t xml:space="preserve">du Conseil du 27 avril 2016 (RGPD) </w:t>
      </w:r>
      <w:r>
        <w:rPr>
          <w:color w:themeColor="text1" w:val="000000"/>
          <w:sz w:val="22"/>
          <w:szCs w:val="22"/>
          <w:shd w:fill="auto" w:val="clear"/>
          <w:lang w:eastAsia="fr-FR"/>
        </w:rPr>
        <w:t>les personnes concernées disposent du droit d’accès, de rectification, d’opposition ainsi que du droit de demander la limitation du traitement de leurs données. </w:t>
      </w:r>
      <w:r>
        <w:rPr>
          <w:rFonts w:eastAsia="Times New Roman" w:cs="Calibri"/>
          <w:color w:themeColor="text1" w:val="000000"/>
          <w:kern w:val="0"/>
          <w:sz w:val="22"/>
          <w:szCs w:val="22"/>
          <w:shd w:fill="auto" w:val="clear"/>
          <w:lang w:eastAsia="fr-FR"/>
          <w14:ligatures w14:val="none"/>
        </w:rPr>
        <w:t xml:space="preserve"> Ces droits peuvent être exercés :</w:t>
      </w:r>
    </w:p>
    <w:p>
      <w:pPr>
        <w:pStyle w:val="ListParagraph"/>
        <w:numPr>
          <w:ilvl w:val="0"/>
          <w:numId w:val="3"/>
        </w:numPr>
        <w:spacing w:lineRule="auto" w:line="240" w:before="0" w:after="0"/>
        <w:contextualSpacing/>
        <w:jc w:val="both"/>
        <w:rPr>
          <w:highlight w:val="none"/>
          <w:shd w:fill="auto" w:val="clear"/>
        </w:rPr>
      </w:pPr>
      <w:r>
        <w:rPr>
          <w:rFonts w:eastAsia="Times New Roman" w:cs="Calibri"/>
          <w:kern w:val="0"/>
          <w:sz w:val="22"/>
          <w:szCs w:val="22"/>
          <w:shd w:fill="auto" w:val="clear"/>
          <w:lang w:eastAsia="fr-FR"/>
          <w14:ligatures w14:val="none"/>
        </w:rPr>
        <w:t>de préférence par courriel à l'adresse : dpd@cdg</w:t>
      </w:r>
      <w:r>
        <w:rPr>
          <w:rFonts w:eastAsia="Times New Roman" w:cs="Calibri"/>
          <w:kern w:val="0"/>
          <w:sz w:val="22"/>
          <w:szCs w:val="22"/>
          <w:shd w:fill="auto" w:val="clear"/>
          <w:lang w:eastAsia="fr-FR"/>
          <w14:ligatures w14:val="none"/>
        </w:rPr>
        <w:t>48</w:t>
      </w:r>
      <w:r>
        <w:rPr>
          <w:rFonts w:eastAsia="Times New Roman" w:cs="Calibri"/>
          <w:kern w:val="0"/>
          <w:sz w:val="22"/>
          <w:szCs w:val="22"/>
          <w:shd w:fill="auto" w:val="clear"/>
          <w:lang w:eastAsia="fr-FR"/>
          <w14:ligatures w14:val="none"/>
        </w:rPr>
        <w:t>.fr,</w:t>
      </w:r>
    </w:p>
    <w:p>
      <w:pPr>
        <w:pStyle w:val="ListParagraph"/>
        <w:numPr>
          <w:ilvl w:val="0"/>
          <w:numId w:val="3"/>
        </w:numPr>
        <w:spacing w:lineRule="auto" w:line="240" w:before="0" w:after="0"/>
        <w:contextualSpacing/>
        <w:jc w:val="both"/>
        <w:rPr>
          <w:rFonts w:ascii="Calibri Light" w:hAnsi="Calibri Light"/>
          <w:sz w:val="22"/>
          <w:szCs w:val="22"/>
          <w:highlight w:val="none"/>
          <w:shd w:fill="FFFF00" w:val="clear"/>
        </w:rPr>
      </w:pPr>
      <w:r>
        <w:rPr>
          <w:rFonts w:eastAsia="Times New Roman" w:cs="Calibri"/>
          <w:kern w:val="0"/>
          <w:sz w:val="22"/>
          <w:szCs w:val="22"/>
          <w:shd w:fill="auto" w:val="clear"/>
          <w:lang w:eastAsia="fr-FR"/>
          <w14:ligatures w14:val="none"/>
        </w:rPr>
        <w:t xml:space="preserve">ou par courrier postal à l’adresse suivante : Centre de Gestion de la Fonction Publique Territoriale de </w:t>
      </w:r>
      <w:r>
        <w:rPr>
          <w:rFonts w:eastAsia="Times New Roman" w:cs="Calibri"/>
          <w:kern w:val="0"/>
          <w:sz w:val="22"/>
          <w:szCs w:val="22"/>
          <w:shd w:fill="auto" w:val="clear"/>
          <w:lang w:eastAsia="fr-FR"/>
          <w14:ligatures w14:val="none"/>
        </w:rPr>
        <w:t>la Lozère</w:t>
      </w:r>
      <w:r>
        <w:rPr>
          <w:rFonts w:eastAsia="Times New Roman" w:cs="Calibri"/>
          <w:kern w:val="0"/>
          <w:sz w:val="22"/>
          <w:szCs w:val="22"/>
          <w:shd w:fill="auto" w:val="clear"/>
          <w:lang w:eastAsia="fr-FR"/>
          <w14:ligatures w14:val="none"/>
        </w:rPr>
        <w:t xml:space="preserve"> à l’attention du délégué à la protection des donné</w:t>
      </w:r>
      <w:r>
        <w:rPr>
          <w:rFonts w:eastAsia="Times New Roman" w:cs="Calibri"/>
          <w:color w:val="000000"/>
          <w:kern w:val="0"/>
          <w:sz w:val="22"/>
          <w:szCs w:val="22"/>
          <w:shd w:fill="auto" w:val="clear"/>
          <w:lang w:eastAsia="fr-FR"/>
          <w14:ligatures w14:val="none"/>
        </w:rPr>
        <w:t xml:space="preserve">es, </w:t>
      </w:r>
      <w:r>
        <w:rPr>
          <w:rFonts w:eastAsia="Times New Roman" w:cs="Calibri"/>
          <w:color w:val="000000"/>
          <w:kern w:val="0"/>
          <w:sz w:val="22"/>
          <w:szCs w:val="22"/>
          <w:shd w:fill="auto" w:val="clear"/>
          <w:lang w:eastAsia="fr-FR"/>
          <w14:ligatures w14:val="none"/>
        </w:rPr>
        <w:t>11 Boulevard des Capucins – 48000 MENDE.</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Les personnes qui estimeraient, après nous avoir contacté, que leurs droits concernant leurs données personnelles ne sont pas respectés, peuvent introduire une réclamation auprès de la Commission Nationale de l’Informatique et les Libertés (CNIL).</w:t>
      </w:r>
    </w:p>
    <w:p>
      <w:pPr>
        <w:pStyle w:val="ListParagraph"/>
        <w:numPr>
          <w:ilvl w:val="0"/>
          <w:numId w:val="2"/>
        </w:numPr>
        <w:spacing w:lineRule="auto" w:line="240" w:before="120" w:after="0"/>
        <w:ind w:hanging="360" w:left="709"/>
        <w:contextualSpacing/>
        <w:jc w:val="both"/>
        <w:rPr/>
      </w:pPr>
      <w:r>
        <w:rPr>
          <w:rFonts w:eastAsia="Times New Roman" w:cs="Calibri"/>
          <w:kern w:val="0"/>
          <w:sz w:val="22"/>
          <w:szCs w:val="22"/>
          <w:lang w:eastAsia="fr-FR"/>
          <w14:ligatures w14:val="none"/>
        </w:rPr>
        <w:t xml:space="preserve">Sur le site de la CNIL : </w:t>
      </w:r>
      <w:hyperlink r:id="rId4">
        <w:r>
          <w:rPr>
            <w:rStyle w:val="Hyperlink"/>
            <w:rFonts w:eastAsia="Times New Roman" w:cs="Calibri"/>
            <w:kern w:val="0"/>
            <w:sz w:val="22"/>
            <w:szCs w:val="22"/>
            <w:lang w:eastAsia="fr-FR"/>
            <w14:ligatures w14:val="none"/>
          </w:rPr>
          <w:t>https://www.cnil.fr/fr/plaintes</w:t>
        </w:r>
      </w:hyperlink>
    </w:p>
    <w:p>
      <w:pPr>
        <w:pStyle w:val="ListParagraph"/>
        <w:numPr>
          <w:ilvl w:val="0"/>
          <w:numId w:val="2"/>
        </w:numPr>
        <w:spacing w:lineRule="auto" w:line="240" w:before="0" w:after="0"/>
        <w:ind w:hanging="360" w:left="709"/>
        <w:contextualSpacing/>
        <w:jc w:val="both"/>
        <w:rPr>
          <w:rFonts w:ascii="Calibri Light" w:hAnsi="Calibri Light"/>
          <w:sz w:val="22"/>
          <w:szCs w:val="22"/>
        </w:rPr>
      </w:pPr>
      <w:r>
        <w:rPr>
          <w:rFonts w:eastAsia="Times New Roman" w:cs="Calibri"/>
          <w:kern w:val="0"/>
          <w:sz w:val="22"/>
          <w:szCs w:val="22"/>
          <w:lang w:eastAsia="fr-FR"/>
          <w14:ligatures w14:val="none"/>
        </w:rPr>
        <w:t>Par voie postale : CNIL - 3 Place de Fontenoy -TSA 80715 -75334 PARIS CEDEX 07</w:t>
      </w:r>
    </w:p>
    <w:p>
      <w:pPr>
        <w:pStyle w:val="Normal"/>
        <w:spacing w:lineRule="auto" w:line="240" w:before="0" w:after="0"/>
        <w:jc w:val="both"/>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jc w:val="both"/>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6 : Durée de la convention</w:t>
      </w:r>
    </w:p>
    <w:p>
      <w:pPr>
        <w:pStyle w:val="Normal"/>
        <w:spacing w:lineRule="auto" w:line="240" w:before="120" w:after="0"/>
        <w:rPr>
          <w:rFonts w:ascii="Calibri Light" w:hAnsi="Calibri Light"/>
          <w:sz w:val="22"/>
          <w:szCs w:val="22"/>
        </w:rPr>
      </w:pPr>
      <w:r>
        <w:rPr>
          <w:rFonts w:eastAsia="Times New Roman" w:cs="Calibri"/>
          <w:kern w:val="0"/>
          <w:sz w:val="22"/>
          <w:szCs w:val="22"/>
          <w:lang w:eastAsia="fr-FR"/>
          <w14:ligatures w14:val="none"/>
        </w:rPr>
        <w:t xml:space="preserve">La présente convention prend effet à compter du </w:t>
      </w:r>
      <w:r>
        <w:rPr>
          <w:rFonts w:eastAsia="Times New Roman" w:cs="Calibri"/>
          <w:color w:val="000000"/>
          <w:kern w:val="0"/>
          <w:sz w:val="22"/>
          <w:szCs w:val="22"/>
          <w:lang w:eastAsia="fr-FR"/>
          <w14:ligatures w14:val="none"/>
        </w:rPr>
        <w:t>...........................</w:t>
      </w:r>
      <w:r>
        <w:rPr>
          <w:rFonts w:eastAsia="Times New Roman" w:cs="Calibri"/>
          <w:color w:val="000000"/>
          <w:kern w:val="0"/>
          <w:sz w:val="22"/>
          <w:szCs w:val="22"/>
          <w:lang w:eastAsia="fr-FR"/>
          <w14:ligatures w14:val="none"/>
        </w:rPr>
        <w:t xml:space="preserve"> </w:t>
      </w:r>
      <w:r>
        <w:rPr>
          <w:rFonts w:eastAsia="Times New Roman" w:cs="Calibri"/>
          <w:kern w:val="0"/>
          <w:sz w:val="22"/>
          <w:szCs w:val="22"/>
          <w:lang w:eastAsia="fr-FR"/>
          <w14:ligatures w14:val="none"/>
        </w:rPr>
        <w:t>jusqu’au 31 décembre 2026.</w:t>
        <w:b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7 : Conditions de résiliation de la convention</w:t>
      </w:r>
    </w:p>
    <w:p>
      <w:pPr>
        <w:pStyle w:val="Normal"/>
        <w:spacing w:lineRule="auto" w:line="240" w:before="0" w:after="0"/>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7.1 : Résiliation par le Centre de Gestion</w:t>
      </w:r>
    </w:p>
    <w:p>
      <w:pPr>
        <w:pStyle w:val="Normal"/>
        <w:spacing w:lineRule="auto" w:line="240" w:before="120" w:after="0"/>
        <w:jc w:val="both"/>
        <w:rPr>
          <w:rFonts w:ascii="Calibri Light" w:hAnsi="Calibri Light"/>
          <w:sz w:val="22"/>
          <w:szCs w:val="22"/>
        </w:rPr>
      </w:pPr>
      <w:r>
        <w:rPr>
          <w:rFonts w:eastAsia="Times New Roman" w:cs="Calibri"/>
          <w:kern w:val="0"/>
          <w:sz w:val="22"/>
          <w:szCs w:val="22"/>
          <w:lang w:eastAsia="fr-FR"/>
          <w14:ligatures w14:val="none"/>
        </w:rPr>
        <w:t>La présente convention peut être résiliée de droit par le Centre de Gestion dans les situations suivantes :</w:t>
      </w:r>
    </w:p>
    <w:p>
      <w:pPr>
        <w:pStyle w:val="Normal"/>
        <w:spacing w:before="120" w:after="120"/>
        <w:ind w:left="567"/>
        <w:jc w:val="both"/>
        <w:rPr>
          <w:rFonts w:ascii="Calibri Light" w:hAnsi="Calibri Light"/>
          <w:sz w:val="22"/>
          <w:szCs w:val="22"/>
        </w:rPr>
      </w:pPr>
      <w:r>
        <w:rPr>
          <w:rFonts w:eastAsia="Times New Roman" w:cs="Calibri"/>
          <w:kern w:val="0"/>
          <w:sz w:val="22"/>
          <w:szCs w:val="22"/>
          <w:lang w:eastAsia="fr-FR"/>
          <w14:ligatures w14:val="none"/>
        </w:rPr>
        <w:t>1°. Inexécution par la collectivité de ses obligations prévues, notamment par le non-paiement des contributions dues au Centre de Gestion,</w:t>
      </w:r>
    </w:p>
    <w:p>
      <w:pPr>
        <w:pStyle w:val="Normal"/>
        <w:spacing w:before="0" w:after="0"/>
        <w:ind w:left="567"/>
        <w:jc w:val="both"/>
        <w:rPr>
          <w:rFonts w:ascii="Calibri Light" w:hAnsi="Calibri Light"/>
          <w:sz w:val="22"/>
          <w:szCs w:val="22"/>
        </w:rPr>
      </w:pPr>
      <w:r>
        <w:rPr>
          <w:rFonts w:eastAsia="Times New Roman" w:cs="Calibri"/>
          <w:kern w:val="0"/>
          <w:sz w:val="22"/>
          <w:szCs w:val="22"/>
          <w:lang w:eastAsia="fr-FR"/>
          <w14:ligatures w14:val="none"/>
        </w:rPr>
        <w:t>2°. Suppression de la mission couverte par la présente convention par le conseil d'administration du Centre de Gestion.</w:t>
      </w:r>
    </w:p>
    <w:p>
      <w:pPr>
        <w:pStyle w:val="Normal"/>
        <w:spacing w:before="0" w:after="0"/>
        <w:ind w:left="567"/>
        <w:jc w:val="both"/>
        <w:rPr>
          <w:rFonts w:ascii="Calibri Light" w:hAnsi="Calibri Light"/>
          <w:sz w:val="22"/>
          <w:szCs w:val="22"/>
        </w:rPr>
      </w:pPr>
      <w:r>
        <w:rPr>
          <w:rFonts w:eastAsia="Times New Roman" w:cs="Calibri"/>
          <w:kern w:val="0"/>
          <w:sz w:val="22"/>
          <w:szCs w:val="22"/>
          <w:lang w:eastAsia="fr-FR"/>
          <w14:ligatures w14:val="none"/>
        </w:rPr>
        <w:t>Dans ces situations, le Centre de Gestion devra par lettre recommandée avec accusé de réception aviser la collectivité de l’usage de cette clause.</w:t>
      </w:r>
    </w:p>
    <w:p>
      <w:pPr>
        <w:pStyle w:val="Normal"/>
        <w:spacing w:before="0" w:after="0"/>
        <w:ind w:left="567"/>
        <w:jc w:val="both"/>
        <w:rPr>
          <w:rFonts w:ascii="Calibri Light" w:hAnsi="Calibri Light"/>
          <w:sz w:val="22"/>
          <w:szCs w:val="22"/>
        </w:rPr>
      </w:pPr>
      <w:r>
        <w:rPr>
          <w:rFonts w:eastAsia="Times New Roman" w:cs="Calibri"/>
          <w:kern w:val="0"/>
          <w:sz w:val="22"/>
          <w:szCs w:val="22"/>
          <w:lang w:eastAsia="fr-FR"/>
          <w14:ligatures w14:val="none"/>
        </w:rPr>
        <w:t>Dans les cas visés au 1°, la résiliation ne sera effective qu’après mise en demeure restée sans effet pendant un mois.</w:t>
      </w:r>
    </w:p>
    <w:p>
      <w:pPr>
        <w:pStyle w:val="Normal"/>
        <w:spacing w:before="0" w:after="0"/>
        <w:ind w:left="567"/>
        <w:jc w:val="both"/>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before="0" w:after="0"/>
        <w:ind w:left="567"/>
        <w:jc w:val="both"/>
        <w:rPr>
          <w:rFonts w:ascii="Calibri Light" w:hAnsi="Calibri Light"/>
          <w:sz w:val="22"/>
          <w:szCs w:val="22"/>
        </w:rPr>
      </w:pPr>
      <w:r>
        <w:rPr>
          <w:rFonts w:eastAsia="Times New Roman" w:cs="Calibri"/>
          <w:kern w:val="0"/>
          <w:sz w:val="22"/>
          <w:szCs w:val="22"/>
          <w:lang w:eastAsia="fr-FR"/>
          <w14:ligatures w14:val="none"/>
        </w:rPr>
        <w:t>Dans les cas visés au 2°, le Centre de Gestion s’engage à aviser la collectivité par lettre recommandée avec accusé de réception six mois avant la date d’échéance de la convention.</w:t>
      </w:r>
    </w:p>
    <w:p>
      <w:pPr>
        <w:pStyle w:val="Normal"/>
        <w:spacing w:before="0" w:after="0"/>
        <w:ind w:left="567"/>
        <w:jc w:val="both"/>
        <w:rPr>
          <w:rFonts w:ascii="Calibri Light" w:hAnsi="Calibri Light"/>
          <w:sz w:val="22"/>
          <w:szCs w:val="22"/>
        </w:rPr>
      </w:pPr>
      <w:r>
        <w:rPr>
          <w:rFonts w:eastAsia="Times New Roman" w:cs="Calibri"/>
          <w:kern w:val="0"/>
          <w:sz w:val="22"/>
          <w:szCs w:val="22"/>
          <w:lang w:eastAsia="fr-FR"/>
          <w14:ligatures w14:val="none"/>
        </w:rPr>
        <w:t>La résiliation sera effective après ladite échéance.</w:t>
      </w:r>
    </w:p>
    <w:p>
      <w:pPr>
        <w:pStyle w:val="Normal"/>
        <w:spacing w:before="0" w:after="0"/>
        <w:ind w:left="567"/>
        <w:jc w:val="both"/>
        <w:rPr>
          <w:rFonts w:ascii="Calibri Light" w:hAnsi="Calibri Light"/>
          <w:sz w:val="22"/>
          <w:szCs w:val="22"/>
        </w:rPr>
      </w:pPr>
      <w:r>
        <w:rPr>
          <w:rFonts w:eastAsia="Times New Roman" w:cs="Calibri"/>
          <w:kern w:val="0"/>
          <w:sz w:val="22"/>
          <w:szCs w:val="22"/>
          <w:lang w:eastAsia="fr-FR"/>
          <w14:ligatures w14:val="none"/>
        </w:rPr>
        <w:t>Dans l’hypothèse d’une suppression d’une ou plusieurs missions découlant d’une modification législative et réglementaire, la résiliation sera effective à la date d’application des nouvelles dispositions et dès réception de la lettre recommandée du Centre de Gestion informant la collectivité de cette modification.</w:t>
      </w:r>
    </w:p>
    <w:p>
      <w:pPr>
        <w:pStyle w:val="Normal"/>
        <w:ind w:left="567"/>
        <w:jc w:val="both"/>
        <w:rPr>
          <w:rFonts w:ascii="Calibri Light" w:hAnsi="Calibri Light"/>
          <w:sz w:val="22"/>
          <w:szCs w:val="22"/>
        </w:rPr>
      </w:pPr>
      <w:r>
        <w:rPr>
          <w:rFonts w:eastAsia="Times New Roman" w:cs="Calibri"/>
          <w:kern w:val="0"/>
          <w:sz w:val="22"/>
          <w:szCs w:val="22"/>
          <w:lang w:eastAsia="fr-FR"/>
          <w14:ligatures w14:val="none"/>
        </w:rPr>
        <w:t>Les résiliations ne donneront lieu à aucune indemnisation du Centre de Gestion au profit de la collectivité.</w:t>
      </w:r>
    </w:p>
    <w:p>
      <w:pPr>
        <w:pStyle w:val="Normal"/>
        <w:spacing w:lineRule="auto" w:line="240" w:before="0" w:after="0"/>
        <w:rPr>
          <w:rFonts w:eastAsia="Times New Roman" w:cs="Calibri"/>
          <w:b/>
          <w:bCs/>
          <w:kern w:val="0"/>
          <w:lang w:eastAsia="fr-FR"/>
          <w14:ligatures w14:val="none"/>
        </w:rPr>
      </w:pPr>
      <w:r>
        <w:rPr>
          <w:rFonts w:eastAsia="Times New Roman" w:cs="Calibri"/>
          <w:b/>
          <w:bCs/>
          <w:kern w:val="0"/>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7.2 : Résiliation par la collectivité</w:t>
      </w:r>
    </w:p>
    <w:p>
      <w:pPr>
        <w:pStyle w:val="Normal"/>
        <w:spacing w:lineRule="auto" w:line="240" w:before="120" w:after="0"/>
        <w:jc w:val="both"/>
        <w:rPr>
          <w:rFonts w:ascii="Calibri Light" w:hAnsi="Calibri Light"/>
          <w:sz w:val="22"/>
          <w:szCs w:val="22"/>
        </w:rPr>
      </w:pPr>
      <w:r>
        <w:rPr>
          <w:rFonts w:eastAsia="Times New Roman" w:cs="Calibri"/>
          <w:kern w:val="0"/>
          <w:sz w:val="22"/>
          <w:szCs w:val="22"/>
          <w:lang w:eastAsia="fr-FR"/>
          <w14:ligatures w14:val="none"/>
        </w:rPr>
        <w:t>L’adhésion ne peut être résiliée par la collectivité qu’après respect d’un préavis de six mois</w:t>
        <w:br/>
        <w:t>avant la date de son échéance.</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La collectivité devra avertir le Centre de Gestion de son intention de mettre en œuvre cette</w:t>
        <w:br/>
        <w:t>clause par lettre recommandée avec accusé de réception.</w:t>
      </w:r>
    </w:p>
    <w:p>
      <w:pPr>
        <w:pStyle w:val="Normal"/>
        <w:spacing w:lineRule="auto" w:line="240" w:before="0" w:after="0"/>
        <w:jc w:val="both"/>
        <w:rPr>
          <w:rFonts w:ascii="Calibri Light" w:hAnsi="Calibri Light"/>
          <w:sz w:val="22"/>
          <w:szCs w:val="22"/>
        </w:rPr>
      </w:pPr>
      <w:r>
        <w:rPr>
          <w:rFonts w:eastAsia="Times New Roman" w:cs="Calibri"/>
          <w:kern w:val="0"/>
          <w:sz w:val="22"/>
          <w:szCs w:val="22"/>
          <w:lang w:eastAsia="fr-FR"/>
          <w14:ligatures w14:val="none"/>
        </w:rPr>
        <w:t>Les missions ne peuvent être interrompues par la collectivité en cours de réalisation et feront</w:t>
        <w:br/>
        <w:t>l’objet des contributions prévues initialement.</w:t>
      </w:r>
    </w:p>
    <w:p>
      <w:pPr>
        <w:pStyle w:val="Normal"/>
        <w:spacing w:lineRule="auto" w:line="240" w:before="0" w:after="0"/>
        <w:jc w:val="both"/>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p>
      <w:pPr>
        <w:pStyle w:val="Normal"/>
        <w:spacing w:lineRule="auto" w:line="240" w:before="0" w:after="0"/>
        <w:rPr>
          <w:rFonts w:ascii="Calibri Light" w:hAnsi="Calibri Light"/>
          <w:sz w:val="22"/>
          <w:szCs w:val="22"/>
        </w:rPr>
      </w:pPr>
      <w:r>
        <w:rPr>
          <w:rFonts w:eastAsia="Times New Roman" w:cs="Calibri"/>
          <w:b/>
          <w:bCs/>
          <w:kern w:val="0"/>
          <w:sz w:val="22"/>
          <w:szCs w:val="22"/>
          <w:lang w:eastAsia="fr-FR"/>
          <w14:ligatures w14:val="none"/>
        </w:rPr>
        <w:t>Article 8 : Règlement des litiges</w:t>
      </w:r>
    </w:p>
    <w:p>
      <w:pPr>
        <w:pStyle w:val="Normal"/>
        <w:spacing w:lineRule="auto" w:line="240" w:before="120" w:after="0"/>
        <w:jc w:val="both"/>
        <w:rPr>
          <w:rFonts w:ascii="Calibri Light" w:hAnsi="Calibri Light"/>
          <w:sz w:val="22"/>
          <w:szCs w:val="22"/>
        </w:rPr>
      </w:pPr>
      <w:r>
        <w:rPr>
          <w:rFonts w:eastAsia="Times New Roman" w:cs="Calibri"/>
          <w:kern w:val="0"/>
          <w:sz w:val="22"/>
          <w:szCs w:val="22"/>
          <w:lang w:eastAsia="fr-FR"/>
          <w14:ligatures w14:val="none"/>
        </w:rPr>
        <w:t>Les parties s’engagent mutuellement à se rencontrer dans le cadre d’une procédure de</w:t>
        <w:br/>
        <w:t>conciliation préalable en cas de difficultés dans l’exécution de la présente convention.</w:t>
        <w:br/>
        <w:t>En cas de litige survenant entre les parties à l’occasion de l’exécution de la présente</w:t>
        <w:br/>
        <w:t>convention, compétence sera donnée au tribunal administratif de Nîmes.</w:t>
      </w:r>
    </w:p>
    <w:p>
      <w:pPr>
        <w:pStyle w:val="Normal"/>
        <w:spacing w:lineRule="auto" w:line="240" w:before="0" w:after="0"/>
        <w:jc w:val="both"/>
        <w:rPr>
          <w:rFonts w:ascii="Calibri Light" w:hAnsi="Calibri Light" w:eastAsia="Times New Roman" w:cs="Calibri"/>
          <w:b/>
          <w:bCs/>
          <w:kern w:val="0"/>
          <w:sz w:val="22"/>
          <w:szCs w:val="22"/>
          <w:lang w:eastAsia="fr-FR"/>
          <w14:ligatures w14:val="none"/>
        </w:rPr>
      </w:pPr>
      <w:r>
        <w:rPr>
          <w:rFonts w:eastAsia="Times New Roman" w:cs="Calibri"/>
          <w:b/>
          <w:bCs/>
          <w:kern w:val="0"/>
          <w:sz w:val="22"/>
          <w:szCs w:val="22"/>
          <w:lang w:eastAsia="fr-FR"/>
          <w14:ligatures w14:val="none"/>
        </w:rPr>
      </w:r>
    </w:p>
    <w:p>
      <w:pPr>
        <w:pStyle w:val="Normal"/>
        <w:rPr>
          <w:rFonts w:ascii="Calibri Light" w:hAnsi="Calibri Light"/>
          <w:sz w:val="22"/>
          <w:szCs w:val="22"/>
        </w:rPr>
      </w:pPr>
      <w:r>
        <w:rPr>
          <w:rFonts w:eastAsia="Times New Roman" w:cs="Calibri"/>
          <w:kern w:val="0"/>
          <w:sz w:val="22"/>
          <w:szCs w:val="22"/>
          <w:lang w:eastAsia="fr-FR"/>
          <w14:ligatures w14:val="none"/>
        </w:rPr>
        <w:t>Fait en 2 exemplaires originaux.</w:t>
      </w:r>
    </w:p>
    <w:p>
      <w:pPr>
        <w:pStyle w:val="Normal"/>
        <w:rPr>
          <w:rFonts w:eastAsia="Times New Roman" w:cs="Calibri"/>
          <w:kern w:val="0"/>
          <w:lang w:eastAsia="fr-FR"/>
          <w14:ligatures w14:val="none"/>
        </w:rPr>
      </w:pPr>
      <w:r>
        <w:rPr>
          <w:rFonts w:eastAsia="Times New Roman" w:cs="Calibri"/>
          <w:kern w:val="0"/>
          <w:lang w:eastAsia="fr-FR"/>
          <w14:ligatures w14:val="none"/>
        </w:rPr>
      </w:r>
    </w:p>
    <w:tbl>
      <w:tblPr>
        <w:tblStyle w:val="Grilledutableau"/>
        <w:tblW w:w="1088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5325"/>
        <w:gridCol w:w="5562"/>
      </w:tblGrid>
      <w:tr>
        <w:trPr/>
        <w:tc>
          <w:tcPr>
            <w:tcW w:w="5325" w:type="dxa"/>
            <w:tcBorders/>
          </w:tcPr>
          <w:p>
            <w:pPr>
              <w:pStyle w:val="Normal"/>
              <w:widowControl/>
              <w:suppressAutoHyphens w:val="true"/>
              <w:spacing w:lineRule="auto" w:line="240" w:before="12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À Mende le……………………..…</w:t>
            </w:r>
          </w:p>
          <w:p>
            <w:pPr>
              <w:pStyle w:val="Normal"/>
              <w:widowControl/>
              <w:suppressAutoHyphens w:val="true"/>
              <w:spacing w:lineRule="auto" w:line="240" w:before="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Pour le CDG48</w:t>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p>
            <w:pPr>
              <w:pStyle w:val="Normal"/>
              <w:widowControl/>
              <w:suppressAutoHyphens w:val="true"/>
              <w:spacing w:lineRule="auto" w:line="240" w:before="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Le Président</w:t>
            </w:r>
          </w:p>
          <w:p>
            <w:pPr>
              <w:pStyle w:val="Normal"/>
              <w:widowControl/>
              <w:suppressAutoHyphens w:val="true"/>
              <w:spacing w:lineRule="auto" w:line="240" w:before="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Laurent SUAU</w:t>
            </w:r>
          </w:p>
        </w:tc>
        <w:tc>
          <w:tcPr>
            <w:tcW w:w="5562" w:type="dxa"/>
            <w:tcBorders/>
          </w:tcPr>
          <w:p>
            <w:pPr>
              <w:pStyle w:val="Normal"/>
              <w:widowControl/>
              <w:suppressAutoHyphens w:val="true"/>
              <w:spacing w:lineRule="auto" w:line="240" w:before="12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À …………………………..…….….., le…………………</w:t>
            </w:r>
          </w:p>
          <w:p>
            <w:pPr>
              <w:pStyle w:val="Normal"/>
              <w:widowControl/>
              <w:suppressAutoHyphens w:val="true"/>
              <w:spacing w:lineRule="auto" w:line="240" w:before="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Pour…………………………………………………..…….</w:t>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p>
            <w:pPr>
              <w:pStyle w:val="Normal"/>
              <w:widowControl/>
              <w:suppressAutoHyphens w:val="true"/>
              <w:spacing w:lineRule="auto" w:line="240" w:before="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Le Maire / Le Président</w:t>
            </w:r>
          </w:p>
          <w:p>
            <w:pPr>
              <w:pStyle w:val="Normal"/>
              <w:widowControl/>
              <w:suppressAutoHyphens w:val="true"/>
              <w:spacing w:lineRule="auto" w:line="240" w:before="0" w:after="0"/>
              <w:jc w:val="left"/>
              <w:rPr>
                <w:rFonts w:ascii="Calibri Light" w:hAnsi="Calibri Light"/>
                <w:color w:val="000000"/>
                <w:sz w:val="22"/>
                <w:szCs w:val="22"/>
              </w:rPr>
            </w:pPr>
            <w:r>
              <w:rPr>
                <w:rFonts w:eastAsia="Times New Roman" w:cs="Calibri"/>
                <w:color w:val="000000"/>
                <w:kern w:val="0"/>
                <w:sz w:val="22"/>
                <w:szCs w:val="22"/>
                <w:lang w:val="fr-FR" w:eastAsia="fr-FR" w:bidi="ar-SA"/>
                <w14:ligatures w14:val="none"/>
              </w:rPr>
              <w:t>………………………………………………………………</w:t>
            </w:r>
          </w:p>
          <w:p>
            <w:pPr>
              <w:pStyle w:val="Normal"/>
              <w:widowControl/>
              <w:suppressAutoHyphens w:val="true"/>
              <w:spacing w:lineRule="auto" w:line="240" w:before="0" w:after="0"/>
              <w:jc w:val="left"/>
              <w:rPr>
                <w:rFonts w:ascii="Calibri Light" w:hAnsi="Calibri Light" w:eastAsia="Times New Roman" w:cs="Calibri"/>
                <w:color w:val="000000"/>
                <w:kern w:val="0"/>
                <w:sz w:val="22"/>
                <w:szCs w:val="22"/>
                <w:lang w:eastAsia="fr-FR"/>
                <w14:ligatures w14:val="none"/>
              </w:rPr>
            </w:pPr>
            <w:r>
              <w:rPr>
                <w:rFonts w:eastAsia="Times New Roman" w:cs="Calibri"/>
                <w:color w:val="000000"/>
                <w:kern w:val="0"/>
                <w:sz w:val="22"/>
                <w:szCs w:val="22"/>
                <w:lang w:eastAsia="fr-FR"/>
                <w14:ligatures w14:val="none"/>
              </w:rPr>
            </w:r>
          </w:p>
        </w:tc>
      </w:tr>
    </w:tbl>
    <w:p>
      <w:pPr>
        <w:pStyle w:val="Normal"/>
        <w:spacing w:before="0" w:after="160"/>
        <w:rPr>
          <w:rFonts w:ascii="Calibri Light" w:hAnsi="Calibri Light" w:eastAsia="Times New Roman" w:cs="Calibri"/>
          <w:kern w:val="0"/>
          <w:sz w:val="22"/>
          <w:szCs w:val="22"/>
          <w:lang w:eastAsia="fr-FR"/>
          <w14:ligatures w14:val="none"/>
        </w:rPr>
      </w:pPr>
      <w:r>
        <w:rPr>
          <w:rFonts w:eastAsia="Times New Roman" w:cs="Calibri"/>
          <w:kern w:val="0"/>
          <w:sz w:val="22"/>
          <w:szCs w:val="22"/>
          <w:lang w:eastAsia="fr-FR"/>
          <w14:ligatures w14:val="none"/>
        </w:rPr>
      </w:r>
    </w:p>
    <w:sectPr>
      <w:headerReference w:type="even" r:id="rId5"/>
      <w:headerReference w:type="default" r:id="rId6"/>
      <w:headerReference w:type="first" r:id="rId7"/>
      <w:footerReference w:type="even" r:id="rId8"/>
      <w:footerReference w:type="default" r:id="rId9"/>
      <w:footerReference w:type="first" r:id="rId10"/>
      <w:type w:val="nextPage"/>
      <w:pgSz w:w="11906" w:h="16838"/>
      <w:pgMar w:left="567" w:right="566" w:gutter="0" w:header="708" w:top="851" w:footer="265"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Light">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roman"/>
    <w:pitch w:val="variable"/>
  </w:font>
  <w:font w:name="Calibri Light">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08"/>
        <w:tab w:val="center" w:pos="7797" w:leader="none"/>
      </w:tabs>
      <w:ind w:hanging="0" w:left="142"/>
      <w:rPr>
        <w:rFonts w:ascii="Calibri Light" w:hAnsi="Calibri Light" w:eastAsia="Ubuntu" w:cs="Calibri Light" w:asciiTheme="majorHAnsi" w:cstheme="majorHAnsi" w:hAnsiTheme="majorHAnsi"/>
        <w:sz w:val="18"/>
        <w:szCs w:val="18"/>
      </w:rPr>
    </w:pPr>
    <w:r>
      <mc:AlternateContent>
        <mc:Choice Requires="wpg">
          <w:drawing>
            <wp:anchor behindDoc="1" distT="0" distB="0" distL="0" distR="0" simplePos="0" locked="0" layoutInCell="0" allowOverlap="1" relativeHeight="6" wp14:anchorId="61977CA8">
              <wp:simplePos x="0" y="0"/>
              <wp:positionH relativeFrom="page">
                <wp:posOffset>6707505</wp:posOffset>
              </wp:positionH>
              <wp:positionV relativeFrom="paragraph">
                <wp:posOffset>-267335</wp:posOffset>
              </wp:positionV>
              <wp:extent cx="547370" cy="547370"/>
              <wp:effectExtent l="0" t="0" r="0" b="0"/>
              <wp:wrapNone/>
              <wp:docPr id="3" name="Groupe 2"/>
              <a:graphic xmlns:a="http://schemas.openxmlformats.org/drawingml/2006/main">
                <a:graphicData uri="http://schemas.microsoft.com/office/word/2010/wordprocessingGroup">
                  <wpg:wgp>
                    <wpg:cNvGrpSpPr/>
                    <wpg:grpSpPr>
                      <a:xfrm>
                        <a:off x="0" y="0"/>
                        <a:ext cx="547200" cy="547200"/>
                        <a:chOff x="0" y="0"/>
                        <a:chExt cx="547200" cy="547200"/>
                      </a:xfrm>
                    </wpg:grpSpPr>
                    <wps:wsp>
                      <wps:cNvPr id="4" name=""/>
                      <wps:cNvSpPr/>
                      <wps:spPr>
                        <a:xfrm>
                          <a:off x="0" y="0"/>
                          <a:ext cx="547200" cy="547200"/>
                        </a:xfrm>
                        <a:custGeom>
                          <a:avLst/>
                          <a:gdLst>
                            <a:gd name="textAreaLeft" fmla="*/ 0 w 310320"/>
                            <a:gd name="textAreaRight" fmla="*/ 311760 w 310320"/>
                            <a:gd name="textAreaTop" fmla="*/ 0 h 310320"/>
                            <a:gd name="textAreaBottom" fmla="*/ 311760 h 310320"/>
                          </a:gdLst>
                          <a:ahLst/>
                          <a:rect l="textAreaLeft" t="textAreaTop" r="textAreaRight" b="textAreaBottom"/>
                          <a:pathLst>
                            <a:path w="862" h="862">
                              <a:moveTo>
                                <a:pt x="862" y="0"/>
                              </a:moveTo>
                              <a:lnTo>
                                <a:pt x="0" y="862"/>
                              </a:lnTo>
                              <a:lnTo>
                                <a:pt x="862" y="862"/>
                              </a:lnTo>
                              <a:lnTo>
                                <a:pt x="862" y="0"/>
                              </a:lnTo>
                              <a:close/>
                            </a:path>
                          </a:pathLst>
                        </a:custGeom>
                        <a:solidFill>
                          <a:srgbClr val="ef3e33"/>
                        </a:solidFill>
                        <a:ln w="0">
                          <a:noFill/>
                        </a:ln>
                      </wps:spPr>
                      <wps:style>
                        <a:lnRef idx="0"/>
                        <a:fillRef idx="0"/>
                        <a:effectRef idx="0"/>
                        <a:fontRef idx="minor"/>
                      </wps:style>
                      <wps:bodyPr/>
                    </wps:wsp>
                  </wpg:wgp>
                </a:graphicData>
              </a:graphic>
            </wp:anchor>
          </w:drawing>
        </mc:Choice>
        <mc:Fallback>
          <w:pict>
            <v:group id="shape_0" alt="Groupe 2" style="position:absolute;margin-left:528.15pt;margin-top:-21.05pt;width:43.1pt;height:43.1pt" coordorigin="10563,-421" coordsize="862,862"/>
          </w:pict>
        </mc:Fallback>
      </mc:AlternateContent>
    </w:r>
    <w:r>
      <w:rPr>
        <w:rFonts w:cs="Calibri Light" w:cstheme="majorHAnsi"/>
        <w:spacing w:val="-9"/>
        <w:sz w:val="18"/>
        <w:szCs w:val="18"/>
      </w:rPr>
      <w:t xml:space="preserve">11 </w:t>
    </w:r>
    <w:r>
      <w:rPr>
        <w:rFonts w:cs="Calibri Light" w:cstheme="majorHAnsi"/>
        <w:sz w:val="18"/>
        <w:szCs w:val="18"/>
      </w:rPr>
      <w:t>Boulevard des Capucins- BP 80092 - 48003</w:t>
    </w:r>
    <w:r>
      <w:rPr>
        <w:rFonts w:cs="Calibri Light" w:cstheme="majorHAnsi"/>
        <w:spacing w:val="-7"/>
        <w:sz w:val="18"/>
        <w:szCs w:val="18"/>
      </w:rPr>
      <w:t xml:space="preserve"> </w:t>
    </w:r>
    <w:r>
      <w:rPr>
        <w:rFonts w:cs="Calibri Light" w:cstheme="majorHAnsi"/>
        <w:sz w:val="18"/>
        <w:szCs w:val="18"/>
      </w:rPr>
      <w:t>MENDE CEDEX</w:t>
      <w:tab/>
    </w:r>
    <w:r>
      <w:rPr>
        <w:rFonts w:cs="Calibri Light"/>
        <w:sz w:val="18"/>
        <w:szCs w:val="18"/>
      </w:rPr>
      <w:fldChar w:fldCharType="begin"/>
    </w:r>
    <w:r>
      <w:rPr>
        <w:sz w:val="18"/>
        <w:szCs w:val="18"/>
        <w:rFonts w:cs="Calibri Light"/>
      </w:rPr>
      <w:instrText xml:space="preserve"> PAGE </w:instrText>
    </w:r>
    <w:r>
      <w:rPr>
        <w:sz w:val="18"/>
        <w:szCs w:val="18"/>
        <w:rFonts w:cs="Calibri Light"/>
      </w:rPr>
      <w:fldChar w:fldCharType="separate"/>
    </w:r>
    <w:r>
      <w:rPr>
        <w:sz w:val="18"/>
        <w:szCs w:val="18"/>
        <w:rFonts w:cs="Calibri Light"/>
      </w:rPr>
      <w:t>3</w:t>
    </w:r>
    <w:r>
      <w:rPr>
        <w:sz w:val="18"/>
        <w:szCs w:val="18"/>
        <w:rFonts w:cs="Calibri Light"/>
      </w:rPr>
      <w:fldChar w:fldCharType="end"/>
    </w:r>
    <w:r>
      <w:rPr>
        <w:rFonts w:cs="Calibri Light" w:cstheme="majorHAnsi"/>
        <w:sz w:val="18"/>
        <w:szCs w:val="18"/>
      </w:rPr>
      <w:t>/</w:t>
    </w:r>
    <w:r>
      <w:rPr>
        <w:rFonts w:cs="Calibri Light"/>
        <w:sz w:val="18"/>
        <w:szCs w:val="18"/>
      </w:rPr>
      <w:fldChar w:fldCharType="begin"/>
    </w:r>
    <w:r>
      <w:rPr>
        <w:sz w:val="18"/>
        <w:szCs w:val="18"/>
        <w:rFonts w:cs="Calibri Light"/>
      </w:rPr>
      <w:instrText xml:space="preserve"> NUMPAGES </w:instrText>
    </w:r>
    <w:r>
      <w:rPr>
        <w:sz w:val="18"/>
        <w:szCs w:val="18"/>
        <w:rFonts w:cs="Calibri Light"/>
      </w:rPr>
      <w:fldChar w:fldCharType="separate"/>
    </w:r>
    <w:r>
      <w:rPr>
        <w:sz w:val="18"/>
        <w:szCs w:val="18"/>
        <w:rFonts w:cs="Calibri Light"/>
      </w:rPr>
      <w:t>3</w:t>
    </w:r>
    <w:r>
      <w:rPr>
        <w:sz w:val="18"/>
        <w:szCs w:val="18"/>
        <w:rFonts w:cs="Calibri Light"/>
      </w:rPr>
      <w:fldChar w:fldCharType="end"/>
    </w:r>
  </w:p>
  <w:p>
    <w:pPr>
      <w:pStyle w:val="Normal"/>
      <w:ind w:hanging="0" w:left="426"/>
      <w:rPr>
        <w:rFonts w:ascii="Calibri Light" w:hAnsi="Calibri Light" w:cs="Calibri Light" w:asciiTheme="majorHAnsi" w:cstheme="majorHAnsi" w:hAnsiTheme="majorHAnsi"/>
        <w:sz w:val="18"/>
        <w:szCs w:val="18"/>
      </w:rPr>
    </w:pPr>
    <w:r>
      <w:rPr>
        <w:rFonts w:cs="Calibri Light" w:cstheme="majorHAnsi"/>
        <w:spacing w:val="-3"/>
        <w:sz w:val="18"/>
        <w:szCs w:val="18"/>
      </w:rPr>
      <w:t xml:space="preserve">Tél. </w:t>
    </w:r>
    <w:r>
      <w:rPr>
        <w:rFonts w:cs="Calibri Light" w:cstheme="majorHAnsi"/>
        <w:sz w:val="18"/>
        <w:szCs w:val="18"/>
      </w:rPr>
      <w:t xml:space="preserve">: 04 66 65 30 03 - </w:t>
    </w:r>
    <w:r>
      <w:rPr>
        <w:rFonts w:cs="Calibri Light" w:cstheme="majorHAnsi"/>
        <w:spacing w:val="-4"/>
        <w:sz w:val="18"/>
        <w:szCs w:val="18"/>
      </w:rPr>
      <w:t xml:space="preserve">Fax </w:t>
    </w:r>
    <w:r>
      <w:rPr>
        <w:rFonts w:cs="Calibri Light" w:cstheme="majorHAnsi"/>
        <w:sz w:val="18"/>
        <w:szCs w:val="18"/>
      </w:rPr>
      <w:t>: 04 66 49 36</w:t>
    </w:r>
    <w:r>
      <w:rPr>
        <w:rFonts w:cs="Calibri Light" w:cstheme="majorHAnsi"/>
        <w:spacing w:val="11"/>
        <w:sz w:val="18"/>
        <w:szCs w:val="18"/>
      </w:rPr>
      <w:t xml:space="preserve"> </w:t>
    </w:r>
    <w:r>
      <w:rPr>
        <w:rFonts w:cs="Calibri Light" w:cstheme="majorHAnsi"/>
        <w:sz w:val="18"/>
        <w:szCs w:val="18"/>
      </w:rPr>
      <w:t>02</w:t>
    </w:r>
  </w:p>
  <w:p>
    <w:pPr>
      <w:pStyle w:val="Normal"/>
      <w:tabs>
        <w:tab w:val="clear" w:pos="708"/>
        <w:tab w:val="right" w:pos="10773" w:leader="none"/>
      </w:tabs>
      <w:ind w:hanging="0" w:left="709"/>
      <w:rPr>
        <w:color w:val="6A8592"/>
        <w:sz w:val="18"/>
        <w:szCs w:val="18"/>
      </w:rPr>
    </w:pPr>
    <w:r>
      <w:rPr>
        <w:rFonts w:cs="Calibri" w:ascii="Calibri" w:hAnsi="Calibri" w:asciiTheme="minorHAnsi" w:cstheme="minorHAnsi" w:hAnsiTheme="minorHAnsi"/>
        <w:color w:val="6A8592"/>
        <w:sz w:val="18"/>
        <w:szCs w:val="18"/>
      </w:rPr>
      <w:t>C</w:t>
    </w:r>
    <w:hyperlink r:id="rId1">
      <w:r>
        <w:rPr>
          <w:rFonts w:cs="Calibri" w:ascii="Calibri" w:hAnsi="Calibri" w:asciiTheme="minorHAnsi" w:cstheme="minorHAnsi" w:hAnsiTheme="minorHAnsi"/>
          <w:color w:val="6A8592"/>
          <w:sz w:val="18"/>
          <w:szCs w:val="18"/>
        </w:rPr>
        <w:t>ourriel :</w:t>
      </w:r>
      <w:r>
        <w:rPr>
          <w:rFonts w:cs="Calibri" w:ascii="Calibri" w:hAnsi="Calibri" w:asciiTheme="minorHAnsi" w:cstheme="minorHAnsi" w:hAnsiTheme="minorHAnsi"/>
          <w:color w:val="6A8592"/>
          <w:spacing w:val="-9"/>
          <w:sz w:val="18"/>
          <w:szCs w:val="18"/>
        </w:rPr>
        <w:t xml:space="preserve"> </w:t>
      </w:r>
      <w:r>
        <w:rPr>
          <w:rFonts w:cs="Calibri" w:ascii="Calibri" w:hAnsi="Calibri" w:asciiTheme="minorHAnsi" w:cstheme="minorHAnsi" w:hAnsiTheme="minorHAnsi"/>
          <w:color w:val="6A8592"/>
          <w:sz w:val="18"/>
          <w:szCs w:val="18"/>
        </w:rPr>
        <w:t>cdg48@cdg48.fr</w:t>
      </w:r>
      <w:r>
        <mc:AlternateContent>
          <mc:Choice Requires="wpg">
            <w:drawing>
              <wp:anchor behindDoc="1" distT="0" distB="0" distL="0" distR="0" simplePos="0" locked="0" layoutInCell="0" allowOverlap="1" relativeHeight="4" wp14:anchorId="69FD8D1D">
                <wp:simplePos x="0" y="0"/>
                <wp:positionH relativeFrom="page">
                  <wp:posOffset>278765</wp:posOffset>
                </wp:positionH>
                <wp:positionV relativeFrom="page">
                  <wp:posOffset>9925050</wp:posOffset>
                </wp:positionV>
                <wp:extent cx="547370" cy="547370"/>
                <wp:effectExtent l="0" t="0" r="0" b="0"/>
                <wp:wrapNone/>
                <wp:docPr id="5" name="Groupe 1"/>
                <a:graphic xmlns:a="http://schemas.openxmlformats.org/drawingml/2006/main">
                  <a:graphicData uri="http://schemas.microsoft.com/office/word/2010/wordprocessingGroup">
                    <wpg:wgp>
                      <wpg:cNvGrpSpPr/>
                      <wpg:grpSpPr>
                        <a:xfrm>
                          <a:off x="0" y="0"/>
                          <a:ext cx="547200" cy="547200"/>
                          <a:chOff x="0" y="0"/>
                          <a:chExt cx="547200" cy="547200"/>
                        </a:xfrm>
                      </wpg:grpSpPr>
                      <wps:wsp>
                        <wps:cNvPr id="6" name=""/>
                        <wps:cNvSpPr/>
                        <wps:spPr>
                          <a:xfrm>
                            <a:off x="0" y="0"/>
                            <a:ext cx="547200" cy="547200"/>
                          </a:xfrm>
                          <a:custGeom>
                            <a:avLst/>
                            <a:gdLst>
                              <a:gd name="textAreaLeft" fmla="*/ 0 w 310320"/>
                              <a:gd name="textAreaRight" fmla="*/ 311760 w 310320"/>
                              <a:gd name="textAreaTop" fmla="*/ 0 h 310320"/>
                              <a:gd name="textAreaBottom" fmla="*/ 311760 h 310320"/>
                            </a:gdLst>
                            <a:ahLst/>
                            <a:rect l="textAreaLeft" t="textAreaTop" r="textAreaRight" b="textAreaBottom"/>
                            <a:pathLst>
                              <a:path w="862" h="862">
                                <a:moveTo>
                                  <a:pt x="0" y="0"/>
                                </a:moveTo>
                                <a:lnTo>
                                  <a:pt x="0" y="862"/>
                                </a:lnTo>
                                <a:lnTo>
                                  <a:pt x="862" y="862"/>
                                </a:lnTo>
                                <a:lnTo>
                                  <a:pt x="0" y="0"/>
                                </a:lnTo>
                                <a:close/>
                              </a:path>
                            </a:pathLst>
                          </a:custGeom>
                          <a:solidFill>
                            <a:srgbClr val="25408f"/>
                          </a:solidFill>
                          <a:ln w="0">
                            <a:noFill/>
                          </a:ln>
                        </wps:spPr>
                        <wps:style>
                          <a:lnRef idx="0"/>
                          <a:fillRef idx="0"/>
                          <a:effectRef idx="0"/>
                          <a:fontRef idx="minor"/>
                        </wps:style>
                        <wps:bodyPr/>
                      </wps:wsp>
                    </wpg:wgp>
                  </a:graphicData>
                </a:graphic>
              </wp:anchor>
            </w:drawing>
          </mc:Choice>
          <mc:Fallback>
            <w:pict>
              <v:group id="shape_0" alt="Groupe 1" style="position:absolute;margin-left:21.95pt;margin-top:781.5pt;width:43.1pt;height:43.1pt" coordorigin="439,15630" coordsize="862,862"/>
            </w:pict>
          </mc:Fallback>
        </mc:AlternateContent>
      </w:r>
    </w:hyperlink>
    <w:r>
      <w:rPr>
        <w:color w:val="6A8592"/>
        <w:sz w:val="18"/>
        <w:szCs w:val="18"/>
      </w:rPr>
      <w:tab/>
    </w:r>
    <w:hyperlink r:id="rId2">
      <w:r>
        <w:rPr>
          <w:rStyle w:val="Hyperlink"/>
          <w:sz w:val="18"/>
          <w:szCs w:val="18"/>
        </w:rPr>
        <w:t>www.</w:t>
      </w:r>
      <w:r>
        <w:rPr>
          <w:rStyle w:val="Hyperlink"/>
          <w:b/>
          <w:sz w:val="18"/>
          <w:szCs w:val="18"/>
        </w:rPr>
        <w:t>cdg48.fr</w:t>
      </w:r>
    </w:hyperlink>
  </w:p>
  <w:p>
    <w:pPr>
      <w:pStyle w:val="Normal"/>
      <w:tabs>
        <w:tab w:val="clear" w:pos="708"/>
        <w:tab w:val="right" w:pos="10773" w:leader="none"/>
      </w:tabs>
      <w:rPr>
        <w:rFonts w:eastAsia="Ubuntu"/>
        <w:sz w:val="18"/>
        <w:szCs w:val="18"/>
      </w:rPr>
    </w:pPr>
    <w:r>
      <w:rPr>
        <w:rFonts w:eastAsia="Ubuntu"/>
        <w:sz w:val="18"/>
        <w:szCs w:val="18"/>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mc:AlternateContent>
        <mc:Choice Requires="wps">
          <w:drawing>
            <wp:anchor behindDoc="0" distT="0" distB="0" distL="0" distR="0" simplePos="0" locked="0" layoutInCell="1" allowOverlap="1" relativeHeight="7">
              <wp:simplePos x="0" y="0"/>
              <wp:positionH relativeFrom="column">
                <wp:posOffset>1618615</wp:posOffset>
              </wp:positionH>
              <wp:positionV relativeFrom="paragraph">
                <wp:posOffset>-145415</wp:posOffset>
              </wp:positionV>
              <wp:extent cx="5071745" cy="706755"/>
              <wp:effectExtent l="0" t="0" r="0" b="0"/>
              <wp:wrapNone/>
              <wp:docPr id="2" name="Cadre de texte 1"/>
              <a:graphic xmlns:a="http://schemas.openxmlformats.org/drawingml/2006/main">
                <a:graphicData uri="http://schemas.microsoft.com/office/word/2010/wordprocessingShape">
                  <wps:wsp>
                    <wps:cNvSpPr txBox="1"/>
                    <wps:spPr>
                      <a:xfrm>
                        <a:off x="0" y="0"/>
                        <a:ext cx="5071680" cy="706680"/>
                      </a:xfrm>
                      <a:prstGeom prst="rect">
                        <a:avLst/>
                      </a:prstGeom>
                      <a:noFill/>
                      <a:ln w="0">
                        <a:noFill/>
                      </a:ln>
                    </wps:spPr>
                    <wps:txbx>
                      <w:txbxContent>
                        <w:p>
                          <w:pPr>
                            <w:overflowPunct w:val="false"/>
                            <w:jc w:val="right"/>
                            <w:rPr/>
                          </w:pPr>
                          <w:r>
                            <w:rPr>
                              <w:shd w:fill="auto" w:val="clear"/>
                              <w:b/>
                              <w:bCs/>
                              <w:sz w:val="30"/>
                              <w:szCs w:val="30"/>
                              <w:rFonts w:cs="Times New Roman" w:ascii="Calibri Light" w:hAnsi="Calibri Light"/>
                              <w:color w:val="FFFFFF"/>
                            </w:rPr>
                            <w:t xml:space="preserve">CONVENTION D’ADHÉSION A LA MISSION DE RÉFÉRENT DÉONTOLOGUE DES ÉLUS LOCAUX </w:t>
                          </w:r>
                        </w:p>
                        <w:p>
                          <w:pPr>
                            <w:overflowPunct w:val="false"/>
                            <w:jc w:val="right"/>
                            <w:rPr/>
                          </w:pPr>
                          <w:r>
                            <w:rPr>
                              <w:shd w:fill="auto" w:val="clear"/>
                              <w:b/>
                              <w:bCs/>
                              <w:sz w:val="30"/>
                              <w:szCs w:val="30"/>
                              <w:rFonts w:cs="Times New Roman" w:ascii="Calibri Light" w:hAnsi="Calibri Light"/>
                              <w:color w:val="FFFFFF"/>
                            </w:rPr>
                            <w:t>Proposée par le CDG48</w:t>
                          </w:r>
                        </w:p>
                      </w:txbxContent>
                    </wps:txbx>
                    <wps:bodyPr wrap="square" lIns="0" rIns="0" tIns="0" bIns="0" anchor="t">
                      <a:noAutofit/>
                    </wps:bodyPr>
                  </wps:wsp>
                </a:graphicData>
              </a:graphic>
            </wp:anchor>
          </w:drawing>
        </mc:Choice>
        <mc:Fallback>
          <w:pict>
            <v:shapetype id="_x0000_t202" coordsize="21600,21600" o:spt="202" path="m,l,21600l21600,21600l21600,xe">
              <v:stroke joinstyle="miter"/>
              <v:path gradientshapeok="t" o:connecttype="rect"/>
            </v:shapetype>
            <v:shape id="shape_0" ID="Cadre de texte 1" stroked="f" o:allowincell="f" style="position:absolute;margin-left:127.45pt;margin-top:-11.45pt;width:399.3pt;height:55.6pt;mso-wrap-style:square;v-text-anchor:top" type="_x0000_t202">
              <v:textbox>
                <w:txbxContent>
                  <w:p>
                    <w:pPr>
                      <w:overflowPunct w:val="false"/>
                      <w:jc w:val="right"/>
                      <w:rPr/>
                    </w:pPr>
                    <w:r>
                      <w:rPr>
                        <w:shd w:fill="auto" w:val="clear"/>
                        <w:b/>
                        <w:bCs/>
                        <w:sz w:val="30"/>
                        <w:szCs w:val="30"/>
                        <w:rFonts w:cs="Times New Roman" w:ascii="Calibri Light" w:hAnsi="Calibri Light"/>
                        <w:color w:val="FFFFFF"/>
                      </w:rPr>
                      <w:t xml:space="preserve">CONVENTION D’ADHÉSION A LA MISSION DE RÉFÉRENT DÉONTOLOGUE DES ÉLUS LOCAUX </w:t>
                    </w:r>
                  </w:p>
                  <w:p>
                    <w:pPr>
                      <w:overflowPunct w:val="false"/>
                      <w:jc w:val="right"/>
                      <w:rPr/>
                    </w:pPr>
                    <w:r>
                      <w:rPr>
                        <w:shd w:fill="auto" w:val="clear"/>
                        <w:b/>
                        <w:bCs/>
                        <w:sz w:val="30"/>
                        <w:szCs w:val="30"/>
                        <w:rFonts w:cs="Times New Roman" w:ascii="Calibri Light" w:hAnsi="Calibri Light"/>
                        <w:color w:val="FFFFFF"/>
                      </w:rPr>
                      <w:t>Proposée par le CDG48</w:t>
                    </w:r>
                  </w:p>
                </w:txbxContent>
              </v:textbox>
              <v:fill o:detectmouseclick="t" on="false"/>
              <v:stroke color="black" joinstyle="round" endcap="flat"/>
              <w10:wrap type="none"/>
            </v:shape>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bullet"/>
      <w:lvlText w:val="-"/>
      <w:lvlJc w:val="left"/>
      <w:pPr>
        <w:tabs>
          <w:tab w:val="num" w:pos="0"/>
        </w:tabs>
        <w:ind w:left="720" w:hanging="360"/>
      </w:pPr>
      <w:rPr>
        <w:rFonts w:ascii="Calibri Light" w:hAnsi="Calibri Light" w:cs="Calibri Light"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embedSystemFonts/>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fr-FR" w:eastAsia="fr-FR"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f564da"/>
    <w:pPr>
      <w:widowControl/>
      <w:suppressAutoHyphens w:val="true"/>
      <w:bidi w:val="0"/>
      <w:spacing w:before="0" w:after="0"/>
      <w:jc w:val="both"/>
    </w:pPr>
    <w:rPr>
      <w:rFonts w:ascii="Calibri Light" w:hAnsi="Calibri Light" w:eastAsia="Times New Roman" w:cs="Calibri Light"/>
      <w:bCs/>
      <w:color w:val="auto"/>
      <w:kern w:val="0"/>
      <w:sz w:val="22"/>
      <w:szCs w:val="24"/>
      <w:lang w:val="fr-FR" w:eastAsia="fr-FR" w:bidi="ar-SA"/>
    </w:rPr>
  </w:style>
  <w:style w:type="paragraph" w:styleId="Heading1">
    <w:name w:val="Heading 1"/>
    <w:basedOn w:val="Normal"/>
    <w:next w:val="Normal"/>
    <w:link w:val="Titre1Car"/>
    <w:qFormat/>
    <w:rsid w:val="003a12c0"/>
    <w:pPr>
      <w:keepNext w:val="true"/>
      <w:spacing w:before="240" w:after="60"/>
      <w:outlineLvl w:val="0"/>
    </w:pPr>
    <w:rPr>
      <w:rFonts w:ascii="Cambria" w:hAnsi="Cambria"/>
      <w:b/>
      <w:bCs w:val="false"/>
      <w:kern w:val="2"/>
      <w:sz w:val="32"/>
      <w:szCs w:val="32"/>
    </w:rPr>
  </w:style>
  <w:style w:type="paragraph" w:styleId="Heading2">
    <w:name w:val="Heading 2"/>
    <w:basedOn w:val="Normal"/>
    <w:next w:val="Normal"/>
    <w:qFormat/>
    <w:rsid w:val="004e07e9"/>
    <w:pPr>
      <w:keepNext w:val="true"/>
      <w:spacing w:before="240" w:after="60"/>
      <w:outlineLvl w:val="1"/>
    </w:pPr>
    <w:rPr>
      <w:rFonts w:ascii="Arial" w:hAnsi="Arial" w:cs="Arial"/>
      <w:b/>
      <w:bCs w:val="false"/>
      <w:i/>
      <w:iCs/>
      <w:sz w:val="28"/>
      <w:szCs w:val="28"/>
    </w:rPr>
  </w:style>
  <w:style w:type="paragraph" w:styleId="Heading3">
    <w:name w:val="Heading 3"/>
    <w:basedOn w:val="Normal"/>
    <w:next w:val="Normal"/>
    <w:link w:val="Titre3Car"/>
    <w:qFormat/>
    <w:rsid w:val="003a12c0"/>
    <w:pPr>
      <w:keepNext w:val="true"/>
      <w:outlineLvl w:val="2"/>
    </w:pPr>
    <w:rPr>
      <w:rFonts w:ascii="Cambria" w:hAnsi="Cambria"/>
      <w:b/>
      <w:bCs w:val="false"/>
      <w:sz w:val="26"/>
      <w:szCs w:val="26"/>
    </w:rPr>
  </w:style>
  <w:style w:type="character" w:styleId="DefaultParagraphFont" w:default="1">
    <w:name w:val="Default Paragraph Font"/>
    <w:uiPriority w:val="1"/>
    <w:semiHidden/>
    <w:unhideWhenUsed/>
    <w:qFormat/>
    <w:rPr/>
  </w:style>
  <w:style w:type="character" w:styleId="Hyperlink">
    <w:name w:val="Hyperlink"/>
    <w:rsid w:val="00b82c80"/>
    <w:rPr>
      <w:strike w:val="false"/>
      <w:dstrike w:val="false"/>
      <w:color w:val="787878"/>
      <w:u w:val="none"/>
      <w:effect w:val="none"/>
    </w:rPr>
  </w:style>
  <w:style w:type="character" w:styleId="En-tteCar" w:customStyle="1">
    <w:name w:val="En-tête Car"/>
    <w:qFormat/>
    <w:rsid w:val="003a12c0"/>
    <w:rPr>
      <w:rFonts w:ascii="Calibri" w:hAnsi="Calibri" w:eastAsia="Calibri"/>
      <w:sz w:val="22"/>
      <w:szCs w:val="22"/>
      <w:lang w:val="fr-FR" w:eastAsia="en-US" w:bidi="ar-SA"/>
    </w:rPr>
  </w:style>
  <w:style w:type="character" w:styleId="PieddepageCar" w:customStyle="1">
    <w:name w:val="Pied de page Car"/>
    <w:qFormat/>
    <w:rsid w:val="003a12c0"/>
    <w:rPr>
      <w:rFonts w:ascii="Calibri" w:hAnsi="Calibri" w:eastAsia="Calibri"/>
      <w:sz w:val="22"/>
      <w:szCs w:val="22"/>
      <w:lang w:val="fr-FR" w:eastAsia="en-US" w:bidi="ar-SA"/>
    </w:rPr>
  </w:style>
  <w:style w:type="character" w:styleId="Titre1Car" w:customStyle="1">
    <w:name w:val="Titre 1 Car"/>
    <w:qFormat/>
    <w:rsid w:val="003a12c0"/>
    <w:rPr>
      <w:rFonts w:ascii="Cambria" w:hAnsi="Cambria"/>
      <w:b/>
      <w:bCs/>
      <w:kern w:val="2"/>
      <w:sz w:val="32"/>
      <w:szCs w:val="32"/>
      <w:lang w:val="fr-FR" w:eastAsia="fr-FR" w:bidi="ar-SA"/>
    </w:rPr>
  </w:style>
  <w:style w:type="character" w:styleId="Titre3Car" w:customStyle="1">
    <w:name w:val="Titre 3 Car"/>
    <w:qFormat/>
    <w:rsid w:val="003a12c0"/>
    <w:rPr>
      <w:rFonts w:ascii="Cambria" w:hAnsi="Cambria"/>
      <w:b/>
      <w:bCs/>
      <w:sz w:val="26"/>
      <w:szCs w:val="26"/>
      <w:lang w:val="fr-FR" w:eastAsia="fr-FR" w:bidi="ar-SA"/>
    </w:rPr>
  </w:style>
  <w:style w:type="character" w:styleId="CorpsdetexteCar" w:customStyle="1">
    <w:name w:val="Corps de texte Car"/>
    <w:qFormat/>
    <w:rsid w:val="003a12c0"/>
    <w:rPr>
      <w:sz w:val="24"/>
      <w:szCs w:val="24"/>
      <w:lang w:val="fr-FR" w:eastAsia="fr-FR" w:bidi="ar-SA"/>
    </w:rPr>
  </w:style>
  <w:style w:type="character" w:styleId="Pagenumber">
    <w:name w:val="page number"/>
    <w:qFormat/>
    <w:rsid w:val="003a12c0"/>
    <w:rPr>
      <w:rFonts w:cs="Times New Roman"/>
    </w:rPr>
  </w:style>
  <w:style w:type="character" w:styleId="Strong">
    <w:name w:val="Strong"/>
    <w:qFormat/>
    <w:rsid w:val="00f564da"/>
    <w:rPr>
      <w:rFonts w:ascii="Calibri" w:hAnsi="Calibri" w:cs="Calibri" w:asciiTheme="minorHAnsi" w:cstheme="minorHAnsi" w:hAnsiTheme="minorHAnsi"/>
      <w:b/>
    </w:rPr>
  </w:style>
  <w:style w:type="character" w:styleId="TextedebullesCar" w:customStyle="1">
    <w:name w:val="Texte de bulles Car"/>
    <w:link w:val="BalloonText"/>
    <w:qFormat/>
    <w:rsid w:val="00b10420"/>
    <w:rPr>
      <w:rFonts w:ascii="Segoe UI" w:hAnsi="Segoe UI" w:cs="Segoe UI"/>
      <w:sz w:val="18"/>
      <w:szCs w:val="18"/>
    </w:rPr>
  </w:style>
  <w:style w:type="character" w:styleId="Annotationreference">
    <w:name w:val="annotation reference"/>
    <w:qFormat/>
    <w:rsid w:val="006a2e98"/>
    <w:rPr>
      <w:sz w:val="16"/>
      <w:szCs w:val="16"/>
    </w:rPr>
  </w:style>
  <w:style w:type="character" w:styleId="CommentaireCar" w:customStyle="1">
    <w:name w:val="Commentaire Car"/>
    <w:basedOn w:val="DefaultParagraphFont"/>
    <w:link w:val="Annotationtext"/>
    <w:qFormat/>
    <w:rsid w:val="006a2e98"/>
    <w:rPr/>
  </w:style>
  <w:style w:type="character" w:styleId="ObjetducommentaireCar" w:customStyle="1">
    <w:name w:val="Objet du commentaire Car"/>
    <w:link w:val="Annotationsubject"/>
    <w:qFormat/>
    <w:rsid w:val="006a2e98"/>
    <w:rPr>
      <w:b/>
      <w:bCs/>
    </w:rPr>
  </w:style>
  <w:style w:type="character" w:styleId="UnresolvedMention">
    <w:name w:val="Unresolved Mention"/>
    <w:basedOn w:val="DefaultParagraphFont"/>
    <w:uiPriority w:val="99"/>
    <w:semiHidden/>
    <w:unhideWhenUsed/>
    <w:qFormat/>
    <w:rsid w:val="00f564da"/>
    <w:rPr>
      <w:color w:val="605E5C"/>
      <w:shd w:fill="E1DFDD" w:val="clear"/>
    </w:rPr>
  </w:style>
  <w:style w:type="character" w:styleId="IntenseReference">
    <w:name w:val="Intense Reference"/>
    <w:basedOn w:val="DefaultParagraphFont"/>
    <w:uiPriority w:val="32"/>
    <w:qFormat/>
    <w:rsid w:val="008d477d"/>
    <w:rPr>
      <w:b/>
      <w:bCs/>
      <w:smallCaps/>
      <w:color w:val="E5115B"/>
      <w:spacing w:val="5"/>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CorpsdetexteCar"/>
    <w:rsid w:val="003a12c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Web">
    <w:name w:val="Normal (Web)"/>
    <w:basedOn w:val="Normal"/>
    <w:qFormat/>
    <w:rsid w:val="00b82c80"/>
    <w:pPr>
      <w:spacing w:beforeAutospacing="1" w:after="240"/>
    </w:pPr>
    <w:rPr/>
  </w:style>
  <w:style w:type="paragraph" w:styleId="En-tteetpieddepage">
    <w:name w:val="En-tête et pied de page"/>
    <w:basedOn w:val="Normal"/>
    <w:qFormat/>
    <w:pPr/>
    <w:rPr/>
  </w:style>
  <w:style w:type="paragraph" w:styleId="Header">
    <w:name w:val="Header"/>
    <w:basedOn w:val="Normal"/>
    <w:link w:val="En-tteCar"/>
    <w:unhideWhenUsed/>
    <w:rsid w:val="003a12c0"/>
    <w:pPr>
      <w:tabs>
        <w:tab w:val="clear" w:pos="708"/>
        <w:tab w:val="center" w:pos="4536" w:leader="none"/>
        <w:tab w:val="right" w:pos="9072" w:leader="none"/>
      </w:tabs>
    </w:pPr>
    <w:rPr>
      <w:rFonts w:ascii="Calibri" w:hAnsi="Calibri" w:eastAsia="Calibri"/>
      <w:szCs w:val="22"/>
      <w:lang w:eastAsia="en-US"/>
    </w:rPr>
  </w:style>
  <w:style w:type="paragraph" w:styleId="Footer">
    <w:name w:val="Footer"/>
    <w:basedOn w:val="Normal"/>
    <w:link w:val="PieddepageCar"/>
    <w:unhideWhenUsed/>
    <w:rsid w:val="003a12c0"/>
    <w:pPr>
      <w:tabs>
        <w:tab w:val="clear" w:pos="708"/>
        <w:tab w:val="center" w:pos="4536" w:leader="none"/>
        <w:tab w:val="right" w:pos="9072" w:leader="none"/>
      </w:tabs>
    </w:pPr>
    <w:rPr>
      <w:rFonts w:ascii="Calibri" w:hAnsi="Calibri" w:eastAsia="Calibri"/>
      <w:szCs w:val="22"/>
      <w:lang w:eastAsia="en-US"/>
    </w:rPr>
  </w:style>
  <w:style w:type="paragraph" w:styleId="BodyTextIndent">
    <w:name w:val="Body Text Indent"/>
    <w:basedOn w:val="Normal"/>
    <w:rsid w:val="004e07e9"/>
    <w:pPr>
      <w:spacing w:before="0" w:after="120"/>
      <w:ind w:hanging="0" w:left="283"/>
    </w:pPr>
    <w:rPr/>
  </w:style>
  <w:style w:type="paragraph" w:styleId="BodyText2">
    <w:name w:val="Body Text 2"/>
    <w:basedOn w:val="Normal"/>
    <w:qFormat/>
    <w:rsid w:val="004e07e9"/>
    <w:pPr>
      <w:spacing w:lineRule="auto" w:line="480" w:before="0" w:after="120"/>
    </w:pPr>
    <w:rPr/>
  </w:style>
  <w:style w:type="paragraph" w:styleId="BalloonText">
    <w:name w:val="Balloon Text"/>
    <w:basedOn w:val="Normal"/>
    <w:link w:val="TextedebullesCar"/>
    <w:qFormat/>
    <w:rsid w:val="00b10420"/>
    <w:pPr/>
    <w:rPr>
      <w:rFonts w:ascii="Segoe UI" w:hAnsi="Segoe UI" w:cs="Segoe UI"/>
      <w:sz w:val="18"/>
      <w:szCs w:val="18"/>
    </w:rPr>
  </w:style>
  <w:style w:type="paragraph" w:styleId="Annotationtext">
    <w:name w:val="annotation text"/>
    <w:basedOn w:val="Normal"/>
    <w:link w:val="CommentaireCar"/>
    <w:qFormat/>
    <w:rsid w:val="006a2e98"/>
    <w:pPr/>
    <w:rPr>
      <w:sz w:val="20"/>
      <w:szCs w:val="20"/>
    </w:rPr>
  </w:style>
  <w:style w:type="paragraph" w:styleId="Annotationsubject">
    <w:name w:val="annotation subject"/>
    <w:basedOn w:val="Annotationtext"/>
    <w:next w:val="Annotationtext"/>
    <w:link w:val="ObjetducommentaireCar"/>
    <w:qFormat/>
    <w:rsid w:val="006a2e98"/>
    <w:pPr/>
    <w:rPr>
      <w:b/>
      <w:bCs w:val="false"/>
    </w:rPr>
  </w:style>
  <w:style w:type="paragraph" w:styleId="Revision">
    <w:name w:val="Revision"/>
    <w:uiPriority w:val="99"/>
    <w:semiHidden/>
    <w:qFormat/>
    <w:rsid w:val="006a2e98"/>
    <w:pPr>
      <w:widowControl/>
      <w:suppressAutoHyphens w:val="true"/>
      <w:bidi w:val="0"/>
      <w:spacing w:before="0" w:after="0"/>
      <w:jc w:val="left"/>
    </w:pPr>
    <w:rPr>
      <w:rFonts w:ascii="Times New Roman" w:hAnsi="Times New Roman" w:eastAsia="Times New Roman" w:cs="Times New Roman"/>
      <w:color w:val="auto"/>
      <w:kern w:val="0"/>
      <w:sz w:val="24"/>
      <w:szCs w:val="24"/>
      <w:lang w:val="fr-FR" w:eastAsia="fr-FR" w:bidi="ar-SA"/>
    </w:rPr>
  </w:style>
  <w:style w:type="paragraph" w:styleId="ListParagraph">
    <w:name w:val="List Paragraph"/>
    <w:basedOn w:val="Normal"/>
    <w:uiPriority w:val="34"/>
    <w:qFormat/>
    <w:rsid w:val="00861f1f"/>
    <w:pPr>
      <w:spacing w:before="0" w:after="0"/>
      <w:ind w:hanging="0" w:left="720"/>
      <w:contextualSpacing/>
    </w:pPr>
    <w:rPr/>
  </w:style>
  <w:style w:type="paragraph" w:styleId="Contenudecadre">
    <w:name w:val="Contenu de cadre"/>
    <w:basedOn w:val="Normal"/>
    <w:qFormat/>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styleId="Grilledutableau">
    <w:name w:val="Table Grid"/>
    <w:basedOn w:val="TableauNormal"/>
    <w:rsid w:val="000b506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cdg82.fr/" TargetMode="External"/><Relationship Id="rId4" Type="http://schemas.openxmlformats.org/officeDocument/2006/relationships/hyperlink" Target="https://www.cnil.fr/fr/plaintes"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hyperlink" Target="mailto:cdg48@cdg48.fr" TargetMode="External"/><Relationship Id="rId2" Type="http://schemas.openxmlformats.org/officeDocument/2006/relationships/hyperlink" Target="http://www.cdg48.fr/" TargetMode="Externa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09DA3A-AD56-4701-AD41-3F808C9EC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Application>LibreOffice/24.2.2.2$Windows_X86_64 LibreOffice_project/d56cc158d8a96260b836f100ef4b4ef25d6f1a01</Application>
  <AppVersion>15.0000</AppVersion>
  <Pages>3</Pages>
  <Words>1447</Words>
  <Characters>7915</Characters>
  <CharactersWithSpaces>9286</CharactersWithSpaces>
  <Paragraphs>80</Paragraphs>
  <Company>CDG48</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2023-01-26T10:41:00Z</dcterms:created>
  <dc:creator>Frédéric CHEVALIER</dc:creator>
  <dc:description/>
  <dc:language>fr-FR</dc:language>
  <cp:lastModifiedBy/>
  <cp:lastPrinted>2022-03-17T12:29:00Z</cp:lastPrinted>
  <dcterms:modified xsi:type="dcterms:W3CDTF">2024-08-22T09:15:52Z</dcterms:modified>
  <cp:revision>10</cp:revision>
  <dc:subject/>
  <dc:title> </dc:title>
</cp:coreProperties>
</file>

<file path=docProps/custom.xml><?xml version="1.0" encoding="utf-8"?>
<Properties xmlns="http://schemas.openxmlformats.org/officeDocument/2006/custom-properties" xmlns:vt="http://schemas.openxmlformats.org/officeDocument/2006/docPropsVTypes"/>
</file>