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Modle-Titre1"/>
        <w:rPr>
          <w:rFonts w:ascii="Calibri Light" w:hAnsi="Calibri Light"/>
          <w:sz w:val="22"/>
          <w:szCs w:val="22"/>
        </w:rPr>
      </w:pPr>
      <w:r>
        <w:rPr>
          <w:rFonts w:cs="Times New Roman" w:ascii="Calibri Light" w:hAnsi="Calibri Light"/>
          <w:b/>
          <w:bCs/>
          <w:sz w:val="22"/>
          <w:szCs w:val="22"/>
        </w:rPr>
        <w:t>Délibération PORTANT ADHÉSION à l accord collectif local sur la mise en place de la</w:t>
      </w:r>
      <w:r>
        <w:rPr>
          <w:rFonts w:cs="Times New Roman" w:ascii="Calibri Light" w:hAnsi="Calibri Light"/>
          <w:b/>
          <w:bCs/>
          <w:iCs/>
          <w:sz w:val="22"/>
          <w:szCs w:val="22"/>
        </w:rPr>
        <w:t xml:space="preserve"> protection sociale complémentaire (PSC) frais de sante</w:t>
      </w:r>
    </w:p>
    <w:p>
      <w:pPr>
        <w:pStyle w:val="Modle-Titre1"/>
        <w:rPr>
          <w:rFonts w:ascii="Calibri Light" w:hAnsi="Calibri Light" w:cs="Times New Roman"/>
          <w:sz w:val="22"/>
          <w:szCs w:val="22"/>
        </w:rPr>
      </w:pPr>
      <w:r>
        <w:rPr>
          <w:rFonts w:cs="Times New Roman" w:ascii="Calibri Light" w:hAnsi="Calibri Light"/>
          <w:sz w:val="22"/>
          <w:szCs w:val="22"/>
        </w:rPr>
      </w:r>
    </w:p>
    <w:p>
      <w:pPr>
        <w:pStyle w:val="Normal"/>
        <w:jc w:val="center"/>
        <w:rPr>
          <w:rFonts w:ascii="Calibri Light" w:hAnsi="Calibri Light" w:cs="Times New Roman"/>
          <w:b/>
          <w:i/>
          <w:i/>
          <w:sz w:val="22"/>
          <w:szCs w:val="22"/>
        </w:rPr>
      </w:pPr>
      <w:r>
        <w:rPr>
          <w:rFonts w:cs="Times New Roman" w:ascii="Calibri Light" w:hAnsi="Calibri Light"/>
          <w:b/>
          <w:i/>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 xml:space="preserve">Le … </w:t>
      </w:r>
      <w:r>
        <w:rPr>
          <w:rFonts w:cs="Times New Roman" w:ascii="Calibri Light" w:hAnsi="Calibri Light"/>
          <w:sz w:val="22"/>
          <w:szCs w:val="22"/>
        </w:rPr>
        <w:t>(date)</w:t>
      </w:r>
      <w:r>
        <w:rPr>
          <w:rFonts w:cs="Times New Roman" w:ascii="Calibri Light" w:hAnsi="Calibri Light"/>
          <w:i w:val="false"/>
          <w:sz w:val="22"/>
          <w:szCs w:val="22"/>
        </w:rPr>
        <w:t xml:space="preserve"> à … </w:t>
      </w:r>
      <w:r>
        <w:rPr>
          <w:rFonts w:cs="Times New Roman" w:ascii="Calibri Light" w:hAnsi="Calibri Light"/>
          <w:sz w:val="22"/>
          <w:szCs w:val="22"/>
        </w:rPr>
        <w:t>(heure)</w:t>
      </w:r>
      <w:r>
        <w:rPr>
          <w:rFonts w:cs="Times New Roman" w:ascii="Calibri Light" w:hAnsi="Calibri Light"/>
          <w:i w:val="false"/>
          <w:sz w:val="22"/>
          <w:szCs w:val="22"/>
        </w:rPr>
        <w:t xml:space="preserve"> en … </w:t>
      </w:r>
      <w:r>
        <w:rPr>
          <w:rFonts w:cs="Times New Roman" w:ascii="Calibri Light" w:hAnsi="Calibri Light"/>
          <w:sz w:val="22"/>
          <w:szCs w:val="22"/>
        </w:rPr>
        <w:t>(lieu)</w:t>
      </w:r>
      <w:r>
        <w:rPr>
          <w:rFonts w:cs="Times New Roman" w:ascii="Calibri Light" w:hAnsi="Calibri Light"/>
          <w:i w:val="false"/>
          <w:sz w:val="22"/>
          <w:szCs w:val="22"/>
        </w:rPr>
        <w:t xml:space="preserve"> se sont réunis les membres du Conseil Municipal (ou autre assemblée) sous la présidence de</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t xml:space="preserve">Etaient présents :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t>Etaient absent(s) excusé(s)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t>Secrétaire de séance :…</w:t>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Modle-Introduction"/>
        <w:spacing w:before="0" w:after="0"/>
        <w:jc w:val="both"/>
        <w:rPr>
          <w:rFonts w:ascii="Calibri Light" w:hAnsi="Calibri Light"/>
          <w:sz w:val="22"/>
          <w:szCs w:val="22"/>
        </w:rPr>
      </w:pPr>
      <w:r>
        <w:rPr>
          <w:rFonts w:cs="Times New Roman" w:ascii="Calibri Light" w:hAnsi="Calibri Light"/>
          <w:b/>
          <w:i w:val="false"/>
          <w:sz w:val="22"/>
          <w:szCs w:val="22"/>
        </w:rPr>
        <w:t xml:space="preserve">Le Maire </w:t>
      </w:r>
      <w:r>
        <w:rPr>
          <w:rFonts w:cs="Times New Roman" w:ascii="Calibri Light" w:hAnsi="Calibri Light"/>
          <w:b/>
          <w:sz w:val="22"/>
          <w:szCs w:val="22"/>
        </w:rPr>
        <w:t xml:space="preserve">(le Président) </w:t>
      </w:r>
      <w:r>
        <w:rPr>
          <w:rFonts w:cs="Times New Roman" w:ascii="Calibri Light" w:hAnsi="Calibri Light"/>
          <w:b/>
          <w:bCs/>
          <w:i w:val="false"/>
          <w:iCs w:val="false"/>
          <w:sz w:val="22"/>
          <w:szCs w:val="22"/>
        </w:rPr>
        <w:t>présente à l’assemblée :</w:t>
      </w:r>
      <w:r>
        <w:rPr>
          <w:rFonts w:cs="Times New Roman" w:ascii="Calibri Light" w:hAnsi="Calibri Light"/>
          <w:b/>
          <w:i w:val="false"/>
          <w:sz w:val="22"/>
          <w:szCs w:val="22"/>
        </w:rPr>
        <w:t xml:space="preserve">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BodyText"/>
        <w:jc w:val="both"/>
        <w:rPr>
          <w:rFonts w:ascii="Calibri Light" w:hAnsi="Calibri Light"/>
          <w:sz w:val="22"/>
          <w:szCs w:val="22"/>
        </w:rPr>
      </w:pPr>
      <w:r>
        <w:rPr>
          <w:rFonts w:cs="Times New Roman" w:ascii="Calibri Light" w:hAnsi="Calibri Light"/>
          <w:i w:val="false"/>
          <w:sz w:val="22"/>
          <w:szCs w:val="22"/>
        </w:rPr>
        <w:t xml:space="preserve">Le Maire </w:t>
      </w:r>
      <w:r>
        <w:rPr>
          <w:rFonts w:cs="Times New Roman" w:ascii="Calibri Light" w:hAnsi="Calibri Light"/>
          <w:iCs/>
          <w:sz w:val="22"/>
          <w:szCs w:val="22"/>
        </w:rPr>
        <w:t>(ou le président)</w:t>
      </w:r>
      <w:r>
        <w:rPr>
          <w:rFonts w:cs="Times New Roman" w:ascii="Calibri Light" w:hAnsi="Calibri Light"/>
          <w:i w:val="false"/>
          <w:sz w:val="22"/>
          <w:szCs w:val="22"/>
        </w:rPr>
        <w:t xml:space="preserve"> rappelle à l’assemblée que l</w:t>
      </w:r>
      <w:r>
        <w:rPr>
          <w:rFonts w:ascii="Calibri Light" w:hAnsi="Calibri Light"/>
          <w:sz w:val="22"/>
          <w:szCs w:val="22"/>
        </w:rPr>
        <w:t>a réforme de la protection sociale complémentaire, qui introduit notamment l’obligation de participation des employeurs publics à la mise en place d’une complémentaire santé au profit de leurs agents (15€/mois/agent minimum), représente l’opportunité d’une avancée sociale majeure au bénéfice des agents de la fonction publique territoriale.</w:t>
      </w:r>
    </w:p>
    <w:p>
      <w:pPr>
        <w:pStyle w:val="BodyText"/>
        <w:rPr>
          <w:rFonts w:ascii="Calibri Light" w:hAnsi="Calibri Light"/>
          <w:sz w:val="22"/>
          <w:szCs w:val="22"/>
        </w:rPr>
      </w:pPr>
      <w:r>
        <w:rPr>
          <w:rFonts w:ascii="Calibri Light" w:hAnsi="Calibri Light"/>
          <w:sz w:val="22"/>
          <w:szCs w:val="22"/>
        </w:rPr>
        <w:t>En ce qu’elle participe des conditions de travail des agents ainsi que du maintien de leur niveau de vie et de leur santé, elle constitue également un élément d’attractivité et d’engagement pour le service public.</w:t>
      </w:r>
    </w:p>
    <w:p>
      <w:pPr>
        <w:pStyle w:val="BodyText"/>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t>L’ordonnance n°2021-175 du 17 février 2021 pose le cadre de cette réforme. Le décret n°2022-581 du 20 avril 2022 relatif aux garanties de PSC et à la participation obligatoire des collectivités territoriales et de leurs établissements publics à leur financement précise aussi bien les garanties minimales que le niveau minimal de participation des employeurs.</w:t>
      </w:r>
    </w:p>
    <w:p>
      <w:pPr>
        <w:pStyle w:val="BodyText"/>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BodyText"/>
        <w:jc w:val="both"/>
        <w:rPr>
          <w:rFonts w:ascii="Calibri Light" w:hAnsi="Calibri Light"/>
          <w:color w:val="000000"/>
          <w:sz w:val="22"/>
          <w:szCs w:val="22"/>
        </w:rPr>
      </w:pPr>
      <w:r>
        <w:rPr>
          <w:rFonts w:ascii="Calibri Light" w:hAnsi="Calibri Light"/>
          <w:color w:val="000000"/>
          <w:sz w:val="22"/>
          <w:szCs w:val="22"/>
        </w:rPr>
        <w:t>Par ailleurs l’ordonnance n°2021-1574 du 24 novembre 2021 créé l’obligation pour les centres de gestion de conclurent, pour le compte des collectivités territoriales et de leurs établissements publics et afin de couvrir pour leurs agents, au titre de la protection sociale complémentaire, les risques mentionnés à l'article L. 827-1, des conventions de participation avec les organismes mentionnés à l'article L. 827-5 dans les conditions prévues à l'article L. 827-4.</w:t>
      </w:r>
    </w:p>
    <w:p>
      <w:pPr>
        <w:pStyle w:val="BodyText"/>
        <w:jc w:val="both"/>
        <w:rPr/>
      </w:pPr>
      <w:r>
        <w:rPr>
          <w:rStyle w:val="Policepardfaut"/>
          <w:rFonts w:ascii="Calibri Light" w:hAnsi="Calibri Light"/>
          <w:sz w:val="22"/>
          <w:szCs w:val="22"/>
        </w:rPr>
        <w:t>Dans le cadre de cette réforme de la Protection Sociale Complémentaire (PSC) dans la fonction publique territoriale et suite à la signature de l’accord collectif national du 11 juillet 2023, le Centre de gestion de la fonction publique territoriale de la Lozère et les représentants des organisations syndicales mandatés ont établi et signé un accord collectif local au sens de l’article L222-3 du Code Général de la Fonction Publique (CGFP), visant à mettre en place un régime d’assurance complémentaire frais de santé des agents de la fonction publique territoriale à adhésion obligatoire ou facultative suivant le choix de la collectivité.</w:t>
      </w:r>
    </w:p>
    <w:p>
      <w:pPr>
        <w:pStyle w:val="BodyText"/>
        <w:jc w:val="both"/>
        <w:rPr>
          <w:rFonts w:ascii="Calibri Light" w:hAnsi="Calibri Light"/>
          <w:sz w:val="22"/>
          <w:szCs w:val="22"/>
        </w:rPr>
      </w:pPr>
      <w:r>
        <w:rPr>
          <w:rFonts w:ascii="Calibri Light" w:hAnsi="Calibri Light"/>
          <w:color w:val="1C1C1C"/>
          <w:sz w:val="22"/>
          <w:szCs w:val="22"/>
          <w:shd w:fill="FFFFFF" w:val="clear"/>
        </w:rPr>
        <w:t>Les collectivités peuvent au choix souscrire un c</w:t>
      </w:r>
      <w:r>
        <w:rPr>
          <w:rFonts w:ascii="Calibri Light" w:hAnsi="Calibri Light"/>
          <w:color w:val="000000"/>
          <w:sz w:val="22"/>
          <w:szCs w:val="22"/>
          <w:shd w:fill="FFFFFF" w:val="clear"/>
        </w:rPr>
        <w:t>ontrat d’assurance à adhésion obligatoire ou à un contrat d’assurance à adhésion facultative pour leurs agents conformément aux dispositions législatives et réglementaires en vigueur.</w:t>
      </w:r>
    </w:p>
    <w:p>
      <w:pPr>
        <w:pStyle w:val="BodyText"/>
        <w:jc w:val="both"/>
        <w:rPr/>
      </w:pPr>
      <w:r>
        <w:rPr>
          <w:rStyle w:val="Policepardfaut"/>
          <w:rFonts w:ascii="Calibri Light" w:hAnsi="Calibri Light"/>
          <w:color w:val="000000"/>
          <w:sz w:val="22"/>
          <w:szCs w:val="22"/>
          <w:shd w:fill="FFFFFF" w:val="clear"/>
        </w:rPr>
        <w:t>Toutefois, que l’adhésion soit rendue obligatoire ou facultative par la collectivité, sa participation telle que définie par l’</w:t>
      </w:r>
      <w:r>
        <w:rPr>
          <w:rStyle w:val="Policepardfaut"/>
          <w:rFonts w:ascii="Calibri Light" w:hAnsi="Calibri Light"/>
          <w:color w:val="000000"/>
          <w:sz w:val="22"/>
          <w:szCs w:val="22"/>
        </w:rPr>
        <w:t xml:space="preserve">ordonnance n° 2021-175 du 17 février 2021 relative à la protection sociale complémentaire dans la fonction publique et </w:t>
      </w:r>
      <w:r>
        <w:rPr>
          <w:rStyle w:val="Policepardfaut"/>
          <w:rFonts w:ascii="Calibri Light" w:hAnsi="Calibri Light"/>
          <w:color w:val="000000"/>
          <w:sz w:val="22"/>
          <w:szCs w:val="22"/>
          <w:shd w:fill="FFFFFF" w:val="clear"/>
        </w:rPr>
        <w:t>l’article 6 du décret n°2022-581 du 20 avril 2022, a elle, un caractère obligatoire.</w:t>
      </w:r>
    </w:p>
    <w:p>
      <w:pPr>
        <w:pStyle w:val="BodyText"/>
        <w:jc w:val="both"/>
        <w:rPr/>
      </w:pPr>
      <w:r>
        <w:rPr>
          <w:rStyle w:val="Policepardfaut"/>
          <w:rFonts w:ascii="Calibri Light" w:hAnsi="Calibri Light"/>
          <w:color w:val="000000"/>
          <w:spacing w:val="1"/>
          <w:sz w:val="22"/>
          <w:szCs w:val="22"/>
        </w:rPr>
        <w:t>La mise en place du</w:t>
      </w:r>
      <w:r>
        <w:rPr>
          <w:rStyle w:val="Policepardfaut"/>
          <w:rFonts w:ascii="Calibri Light" w:hAnsi="Calibri Light"/>
          <w:color w:val="000000"/>
          <w:spacing w:val="-3"/>
          <w:sz w:val="22"/>
          <w:szCs w:val="22"/>
        </w:rPr>
        <w:t xml:space="preserve"> </w:t>
      </w:r>
      <w:r>
        <w:rPr>
          <w:rStyle w:val="Policepardfaut"/>
          <w:rFonts w:ascii="Calibri Light" w:hAnsi="Calibri Light"/>
          <w:color w:val="000000"/>
          <w:spacing w:val="1"/>
          <w:sz w:val="22"/>
          <w:szCs w:val="22"/>
        </w:rPr>
        <w:t>présent</w:t>
      </w:r>
      <w:r>
        <w:rPr>
          <w:rStyle w:val="Policepardfaut"/>
          <w:rFonts w:ascii="Calibri Light" w:hAnsi="Calibri Light"/>
          <w:color w:val="000000"/>
          <w:spacing w:val="-3"/>
          <w:sz w:val="22"/>
          <w:szCs w:val="22"/>
        </w:rPr>
        <w:t xml:space="preserve"> </w:t>
      </w:r>
      <w:r>
        <w:rPr>
          <w:rStyle w:val="Policepardfaut"/>
          <w:rFonts w:ascii="Calibri Light" w:hAnsi="Calibri Light"/>
          <w:color w:val="000000"/>
          <w:spacing w:val="1"/>
          <w:sz w:val="22"/>
          <w:szCs w:val="22"/>
        </w:rPr>
        <w:t>régime</w:t>
      </w:r>
      <w:r>
        <w:rPr>
          <w:rStyle w:val="Policepardfaut"/>
          <w:rFonts w:ascii="Calibri Light" w:hAnsi="Calibri Light"/>
          <w:color w:val="000000"/>
          <w:spacing w:val="-3"/>
          <w:sz w:val="22"/>
          <w:szCs w:val="22"/>
        </w:rPr>
        <w:t xml:space="preserve"> </w:t>
      </w:r>
      <w:r>
        <w:rPr>
          <w:rStyle w:val="Policepardfaut"/>
          <w:rFonts w:ascii="Calibri Light" w:hAnsi="Calibri Light"/>
          <w:color w:val="000000"/>
          <w:spacing w:val="1"/>
          <w:sz w:val="22"/>
          <w:szCs w:val="22"/>
        </w:rPr>
        <w:t>concerne</w:t>
      </w:r>
      <w:r>
        <w:rPr>
          <w:rStyle w:val="Policepardfaut"/>
          <w:rFonts w:ascii="Calibri Light" w:hAnsi="Calibri Light"/>
          <w:color w:val="000000"/>
          <w:spacing w:val="-3"/>
          <w:sz w:val="22"/>
          <w:szCs w:val="22"/>
        </w:rPr>
        <w:t xml:space="preserve"> </w:t>
      </w:r>
      <w:r>
        <w:rPr>
          <w:rStyle w:val="Policepardfaut"/>
          <w:rFonts w:ascii="Calibri Light" w:hAnsi="Calibri Light"/>
          <w:color w:val="000000"/>
          <w:spacing w:val="1"/>
          <w:sz w:val="22"/>
          <w:szCs w:val="22"/>
        </w:rPr>
        <w:t>l'ensemble</w:t>
      </w:r>
      <w:r>
        <w:rPr>
          <w:rStyle w:val="Policepardfaut"/>
          <w:rFonts w:ascii="Calibri Light" w:hAnsi="Calibri Light"/>
          <w:color w:val="000000"/>
          <w:spacing w:val="-1"/>
          <w:sz w:val="22"/>
          <w:szCs w:val="22"/>
        </w:rPr>
        <w:t xml:space="preserve"> </w:t>
      </w:r>
      <w:r>
        <w:rPr>
          <w:rStyle w:val="Policepardfaut"/>
          <w:rFonts w:ascii="Calibri Light" w:hAnsi="Calibri Light"/>
          <w:color w:val="000000"/>
          <w:spacing w:val="1"/>
          <w:sz w:val="22"/>
          <w:szCs w:val="22"/>
        </w:rPr>
        <w:t>des</w:t>
      </w:r>
      <w:r>
        <w:rPr>
          <w:rStyle w:val="Policepardfaut"/>
          <w:rFonts w:ascii="Calibri Light" w:hAnsi="Calibri Light"/>
          <w:color w:val="000000"/>
          <w:spacing w:val="-2"/>
          <w:sz w:val="22"/>
          <w:szCs w:val="22"/>
        </w:rPr>
        <w:t xml:space="preserve"> agents, des collectivités territoriales et leurs établissements publics du département de la Lozère ayant donné mandat au CDG48 (les collectivités et établissements affiliés dont le CST est placé auprès du CDG48, les collectivités et établissements affiliés disposant de leur propre CST et les collectivités et établissements non affiliés).</w:t>
      </w:r>
    </w:p>
    <w:p>
      <w:pPr>
        <w:pStyle w:val="Modle-Introduction"/>
        <w:spacing w:before="0" w:after="0"/>
        <w:jc w:val="both"/>
        <w:rPr>
          <w:rFonts w:ascii="Calibri Light" w:hAnsi="Calibri Light"/>
          <w:sz w:val="22"/>
          <w:szCs w:val="22"/>
        </w:rPr>
      </w:pPr>
      <w:r>
        <w:rPr>
          <w:rFonts w:ascii="Calibri Light" w:hAnsi="Calibri Light"/>
          <w:i w:val="false"/>
          <w:iCs w:val="false"/>
          <w:sz w:val="22"/>
          <w:szCs w:val="22"/>
        </w:rPr>
        <w:t xml:space="preserve">Le Maire (ou Président) informe les membres de l’assemblée que le CDG48 lance un appel public à concurrence en vue de conclure un contrat d’assurance collectif à adhésion facultative ou obligatoire au choix de la collectivité, destiné à couvrir le risque « frais de santé » pour l’ensemble de ses agents pour un effet au </w:t>
      </w:r>
      <w:r>
        <w:rPr>
          <w:rFonts w:ascii="Calibri Light" w:hAnsi="Calibri Light"/>
          <w:b/>
          <w:bCs/>
          <w:i w:val="false"/>
          <w:iCs w:val="false"/>
          <w:sz w:val="22"/>
          <w:szCs w:val="22"/>
        </w:rPr>
        <w:t>1</w:t>
      </w:r>
      <w:r>
        <w:rPr>
          <w:rFonts w:ascii="Calibri Light" w:hAnsi="Calibri Light"/>
          <w:b/>
          <w:bCs/>
          <w:i w:val="false"/>
          <w:iCs w:val="false"/>
          <w:sz w:val="22"/>
          <w:szCs w:val="22"/>
          <w:vertAlign w:val="superscript"/>
        </w:rPr>
        <w:t>er</w:t>
      </w:r>
      <w:r>
        <w:rPr>
          <w:rFonts w:ascii="Calibri Light" w:hAnsi="Calibri Light"/>
          <w:b/>
          <w:bCs/>
          <w:i w:val="false"/>
          <w:iCs w:val="false"/>
          <w:sz w:val="22"/>
          <w:szCs w:val="22"/>
        </w:rPr>
        <w:t xml:space="preserve"> janvier 2025</w:t>
      </w:r>
      <w:r>
        <w:rPr>
          <w:rFonts w:ascii="Calibri Light" w:hAnsi="Calibri Light"/>
          <w:i w:val="false"/>
          <w:iCs w:val="false"/>
          <w:sz w:val="22"/>
          <w:szCs w:val="22"/>
        </w:rPr>
        <w:t xml:space="preserve">. Il appartiendra à la collectivité de déterminer ultérieurement le montant de sa participation en numéraire ou en pourcentage dans les limites réglementaires </w:t>
      </w:r>
      <w:r>
        <w:rPr>
          <w:rFonts w:ascii="Calibri Light" w:hAnsi="Calibri Light"/>
          <w:i/>
          <w:iCs/>
          <w:sz w:val="22"/>
          <w:szCs w:val="22"/>
        </w:rPr>
        <w:t>( 15€/mois/agent minimum)</w:t>
      </w:r>
      <w:r>
        <w:rPr>
          <w:rFonts w:ascii="Calibri Light" w:hAnsi="Calibri Light"/>
          <w:i w:val="false"/>
          <w:iCs w:val="false"/>
          <w:sz w:val="22"/>
          <w:szCs w:val="22"/>
        </w:rPr>
        <w:t xml:space="preserve"> </w:t>
      </w:r>
    </w:p>
    <w:p>
      <w:pPr>
        <w:pStyle w:val="Modle-Introduction"/>
        <w:spacing w:before="0" w:after="0"/>
        <w:jc w:val="both"/>
        <w:rPr>
          <w:rFonts w:ascii="Calibri Light" w:hAnsi="Calibri Light" w:cs="Times New Roman"/>
          <w:i w:val="false"/>
          <w:i w:val="false"/>
          <w:iCs/>
          <w:sz w:val="22"/>
          <w:szCs w:val="22"/>
        </w:rPr>
      </w:pPr>
      <w:r>
        <w:rPr>
          <w:rFonts w:cs="Times New Roman" w:ascii="Calibri Light" w:hAnsi="Calibri Light"/>
          <w:i w:val="false"/>
          <w:iCs/>
          <w:sz w:val="22"/>
          <w:szCs w:val="22"/>
        </w:rPr>
      </w:r>
    </w:p>
    <w:p>
      <w:pPr>
        <w:pStyle w:val="Modle-Introduction"/>
        <w:spacing w:before="0" w:after="0"/>
        <w:rPr>
          <w:rFonts w:ascii="Calibri Light" w:hAnsi="Calibri Light" w:cs="Times New Roman"/>
          <w:b/>
          <w:i w:val="false"/>
          <w:i w:val="false"/>
          <w:iCs/>
          <w:sz w:val="22"/>
          <w:szCs w:val="22"/>
        </w:rPr>
      </w:pPr>
      <w:bookmarkStart w:id="0" w:name="_Hlk93586375"/>
      <w:bookmarkEnd w:id="0"/>
      <w:r>
        <w:rPr>
          <w:rFonts w:cs="Times New Roman" w:ascii="Calibri Light" w:hAnsi="Calibri Light"/>
          <w:b/>
          <w:i w:val="false"/>
          <w:iCs/>
          <w:sz w:val="22"/>
          <w:szCs w:val="22"/>
        </w:rPr>
        <w:t>Le Conseil Municipal (Communautaire, Syndical, d’Administration …)</w:t>
      </w:r>
    </w:p>
    <w:p>
      <w:pPr>
        <w:pStyle w:val="Modle-Introduction"/>
        <w:spacing w:before="0" w:after="0"/>
        <w:jc w:val="both"/>
        <w:rPr>
          <w:rFonts w:ascii="Calibri Light" w:hAnsi="Calibri Light" w:cs="Times New Roman"/>
          <w:b/>
          <w:i w:val="false"/>
          <w:i w:val="false"/>
          <w:iCs/>
          <w:sz w:val="22"/>
          <w:szCs w:val="22"/>
        </w:rPr>
      </w:pPr>
      <w:r>
        <w:rPr>
          <w:rFonts w:cs="Times New Roman" w:ascii="Calibri Light" w:hAnsi="Calibri Light"/>
          <w:b/>
          <w:i w:val="false"/>
          <w:iCs/>
          <w:sz w:val="22"/>
          <w:szCs w:val="22"/>
        </w:rPr>
      </w:r>
    </w:p>
    <w:p>
      <w:pPr>
        <w:pStyle w:val="BodyText"/>
        <w:jc w:val="both"/>
        <w:rPr>
          <w:rFonts w:ascii="Calibri Light" w:hAnsi="Calibri Light"/>
          <w:color w:val="000000"/>
          <w:sz w:val="22"/>
          <w:szCs w:val="22"/>
        </w:rPr>
      </w:pPr>
      <w:r>
        <w:rPr>
          <w:rFonts w:ascii="Calibri Light" w:hAnsi="Calibri Light"/>
          <w:color w:val="000000"/>
          <w:sz w:val="22"/>
          <w:szCs w:val="22"/>
        </w:rPr>
        <w:t xml:space="preserve">Vu le code général de la fonction publique et notamment l’article L 827-7 duquel résulte l’obligation pour les CDG de mettre en place des conventions de participation portant sur la protection sociale complémentaire des agents pour le compte des collectivités et de leurs établissements publics. </w:t>
      </w:r>
    </w:p>
    <w:p>
      <w:pPr>
        <w:pStyle w:val="BodyText"/>
        <w:jc w:val="both"/>
        <w:rPr>
          <w:rFonts w:ascii="Calibri Light" w:hAnsi="Calibri Light"/>
          <w:color w:val="000000"/>
          <w:sz w:val="22"/>
          <w:szCs w:val="22"/>
        </w:rPr>
      </w:pPr>
      <w:r>
        <w:rPr>
          <w:rFonts w:ascii="Calibri Light" w:hAnsi="Calibri Light"/>
          <w:color w:val="000000"/>
          <w:sz w:val="22"/>
          <w:szCs w:val="22"/>
        </w:rPr>
        <w:t>Vu l’ordonnance n°2021-174 du 17 février 2021 relative à la négociation et aux accords collectifs</w:t>
      </w:r>
    </w:p>
    <w:p>
      <w:pPr>
        <w:pStyle w:val="BodyText"/>
        <w:jc w:val="both"/>
        <w:rPr/>
      </w:pPr>
      <w:r>
        <w:rPr>
          <w:rStyle w:val="Policepardfaut"/>
          <w:rFonts w:ascii="Calibri Light" w:hAnsi="Calibri Light"/>
          <w:color w:val="000000"/>
          <w:sz w:val="22"/>
          <w:szCs w:val="22"/>
        </w:rPr>
        <w:t>Vu l’ordonnance n°2021-175 du 17 février 2021 relative à la protection sociale complémentaire dans la fonction publique</w:t>
      </w:r>
    </w:p>
    <w:p>
      <w:pPr>
        <w:pStyle w:val="BodyText"/>
        <w:jc w:val="both"/>
        <w:rPr>
          <w:rFonts w:ascii="Calibri Light" w:hAnsi="Calibri Light"/>
          <w:color w:val="000000"/>
          <w:sz w:val="22"/>
          <w:szCs w:val="22"/>
        </w:rPr>
      </w:pPr>
      <w:r>
        <w:rPr>
          <w:rFonts w:ascii="Calibri Light" w:hAnsi="Calibri Light"/>
          <w:color w:val="000000"/>
          <w:sz w:val="22"/>
          <w:szCs w:val="22"/>
        </w:rPr>
        <w:t>Vu le décret n°2022-581 du 20 avril 2022 relatif aux garanties de protection sociale complémentaire  et à la participation obligatoire des collectivités territoriales et de leurs établissements publics à leur financement</w:t>
      </w:r>
    </w:p>
    <w:p>
      <w:pPr>
        <w:pStyle w:val="BodyText"/>
        <w:jc w:val="both"/>
        <w:rPr>
          <w:rFonts w:ascii="Calibri Light" w:hAnsi="Calibri Light"/>
          <w:color w:val="000000"/>
          <w:sz w:val="22"/>
          <w:szCs w:val="22"/>
        </w:rPr>
      </w:pPr>
      <w:r>
        <w:rPr>
          <w:rFonts w:ascii="Calibri Light" w:hAnsi="Calibri Light"/>
          <w:color w:val="000000"/>
          <w:sz w:val="22"/>
          <w:szCs w:val="22"/>
        </w:rPr>
        <w:t>Vu l’accord de méthode national du 12 juillet 2022 établi par les partenaires sociaux</w:t>
      </w:r>
    </w:p>
    <w:p>
      <w:pPr>
        <w:pStyle w:val="BodyText"/>
        <w:jc w:val="both"/>
        <w:rPr/>
      </w:pPr>
      <w:r>
        <w:rPr>
          <w:rStyle w:val="Policepardfaut"/>
          <w:rFonts w:ascii="Calibri Light" w:hAnsi="Calibri Light"/>
          <w:color w:val="000000"/>
          <w:sz w:val="22"/>
          <w:szCs w:val="22"/>
        </w:rPr>
        <w:t>Vu l’accord collectif national du 11 juillet 2023, portant réforme de la protection sociale complémentaire dans la fonction publique territoriale</w:t>
      </w:r>
    </w:p>
    <w:p>
      <w:pPr>
        <w:pStyle w:val="BodyText"/>
        <w:jc w:val="both"/>
        <w:rPr>
          <w:rFonts w:ascii="Calibri Light" w:hAnsi="Calibri Light"/>
          <w:sz w:val="22"/>
          <w:szCs w:val="22"/>
        </w:rPr>
      </w:pPr>
      <w:r>
        <w:rPr>
          <w:rFonts w:cs="Times New Roman" w:ascii="Calibri Light" w:hAnsi="Calibri Light"/>
          <w:b w:val="false"/>
          <w:bCs w:val="false"/>
          <w:i w:val="false"/>
          <w:iCs/>
          <w:color w:val="000000"/>
          <w:sz w:val="22"/>
          <w:szCs w:val="22"/>
        </w:rPr>
        <w:t>Vu l’accord de méthode départemental du 16/05/2024 établi par les partenaires sociaux.</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t>Vu l’accord collectif local du 10 juillet 2024 instituant un régime complémentaire de remboursement de «  frais de santé »</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Normal"/>
        <w:suppressAutoHyphens w:val="false"/>
        <w:jc w:val="both"/>
        <w:rPr>
          <w:highlight w:val="none"/>
          <w:shd w:fill="FFFFFF" w:val="clear"/>
        </w:rPr>
      </w:pPr>
      <w:r>
        <w:rPr>
          <w:rFonts w:cs="Arial" w:ascii="Calibri Light" w:hAnsi="Calibri Light"/>
          <w:color w:val="000000"/>
          <w:shd w:fill="FFFFFF" w:val="clear"/>
        </w:rPr>
        <w:t>Considérant que pour les collectivités territoriales et leurs établissements publics mentionnés ne disposant pas d'un organisme consultatif, l'organisme consultatif de référence est le comité social territorial du centre de gestion auquel est rattaché la collectivité territoriale ou l'établissement public.</w:t>
      </w:r>
    </w:p>
    <w:p>
      <w:pPr>
        <w:pStyle w:val="Modle-Introduction"/>
        <w:spacing w:before="0" w:after="0"/>
        <w:rPr>
          <w:rFonts w:ascii="Calibri Light" w:hAnsi="Calibri Light"/>
          <w:sz w:val="22"/>
          <w:szCs w:val="22"/>
          <w:highlight w:val="none"/>
          <w:shd w:fill="FFFFFF" w:val="clear"/>
        </w:rPr>
      </w:pPr>
      <w:r>
        <w:rPr>
          <w:rFonts w:ascii="Calibri Light" w:hAnsi="Calibri Light"/>
          <w:sz w:val="22"/>
          <w:szCs w:val="22"/>
          <w:shd w:fill="FFFFFF" w:val="clear"/>
        </w:rPr>
      </w:r>
    </w:p>
    <w:p>
      <w:pPr>
        <w:pStyle w:val="Modle-Introduction"/>
        <w:spacing w:before="0" w:after="0"/>
        <w:rPr>
          <w:highlight w:val="none"/>
          <w:shd w:fill="FFFFFF" w:val="clear"/>
        </w:rPr>
      </w:pPr>
      <w:r>
        <w:rPr>
          <w:rFonts w:cs="Times New Roman" w:ascii="Calibri Light" w:hAnsi="Calibri Light"/>
          <w:b w:val="false"/>
          <w:bCs w:val="false"/>
          <w:i w:val="false"/>
          <w:iCs/>
          <w:sz w:val="22"/>
          <w:szCs w:val="22"/>
          <w:shd w:fill="FFFFFF" w:val="clear"/>
        </w:rPr>
        <w:t>Considérant la présentation de l’accord au CST du CDG du 11 juillet 2024.</w:t>
      </w:r>
    </w:p>
    <w:p>
      <w:pPr>
        <w:pStyle w:val="Modle-Introduction"/>
        <w:spacing w:before="0" w:after="0"/>
        <w:rPr>
          <w:rFonts w:ascii="Calibri Light" w:hAnsi="Calibri Light" w:cs="Times New Roman"/>
          <w:b w:val="false"/>
          <w:bCs w:val="false"/>
          <w:i w:val="false"/>
          <w:i w:val="false"/>
          <w:iCs/>
          <w:sz w:val="22"/>
          <w:szCs w:val="22"/>
          <w:highlight w:val="none"/>
          <w:shd w:fill="FFFFFF" w:val="clear"/>
        </w:rPr>
      </w:pPr>
      <w:r>
        <w:rPr>
          <w:rFonts w:cs="Times New Roman" w:ascii="Calibri Light" w:hAnsi="Calibri Light"/>
          <w:b w:val="false"/>
          <w:bCs w:val="false"/>
          <w:i w:val="false"/>
          <w:iCs/>
          <w:sz w:val="22"/>
          <w:szCs w:val="22"/>
          <w:shd w:fill="FFFFFF" w:val="clear"/>
        </w:rPr>
      </w:r>
    </w:p>
    <w:p>
      <w:pPr>
        <w:pStyle w:val="Modle-Introduction"/>
        <w:spacing w:before="0" w:after="0"/>
        <w:rPr>
          <w:highlight w:val="none"/>
          <w:shd w:fill="FFFFFF" w:val="clear"/>
        </w:rPr>
      </w:pPr>
      <w:r>
        <w:rPr>
          <w:rFonts w:cs="Times New Roman" w:ascii="Calibri Light" w:hAnsi="Calibri Light"/>
          <w:b w:val="false"/>
          <w:bCs w:val="false"/>
          <w:i w:val="false"/>
          <w:iCs/>
          <w:sz w:val="22"/>
          <w:szCs w:val="22"/>
          <w:shd w:fill="FFFFFF" w:val="clear"/>
        </w:rPr>
        <w:t xml:space="preserve">ou </w:t>
      </w:r>
    </w:p>
    <w:p>
      <w:pPr>
        <w:pStyle w:val="Modle-Introduction"/>
        <w:spacing w:before="0" w:after="0"/>
        <w:rPr>
          <w:rFonts w:ascii="Calibri Light" w:hAnsi="Calibri Light" w:cs="Times New Roman"/>
          <w:b w:val="false"/>
          <w:bCs w:val="false"/>
          <w:i w:val="false"/>
          <w:i w:val="false"/>
          <w:iCs/>
          <w:sz w:val="22"/>
          <w:szCs w:val="22"/>
          <w:highlight w:val="none"/>
          <w:shd w:fill="FFFFFF" w:val="clear"/>
        </w:rPr>
      </w:pPr>
      <w:r>
        <w:rPr>
          <w:rFonts w:cs="Times New Roman" w:ascii="Calibri Light" w:hAnsi="Calibri Light"/>
          <w:b w:val="false"/>
          <w:bCs w:val="false"/>
          <w:i w:val="false"/>
          <w:iCs/>
          <w:sz w:val="22"/>
          <w:szCs w:val="22"/>
          <w:shd w:fill="FFFFFF" w:val="clear"/>
        </w:rPr>
      </w:r>
    </w:p>
    <w:p>
      <w:pPr>
        <w:pStyle w:val="Modle-Introduction"/>
        <w:spacing w:before="0" w:after="0"/>
        <w:rPr>
          <w:highlight w:val="none"/>
          <w:shd w:fill="FFFFFF" w:val="clear"/>
        </w:rPr>
      </w:pPr>
      <w:r>
        <w:rPr>
          <w:rFonts w:cs="Times New Roman" w:ascii="Calibri Light" w:hAnsi="Calibri Light"/>
          <w:b w:val="false"/>
          <w:bCs w:val="false"/>
          <w:i w:val="false"/>
          <w:iCs/>
          <w:sz w:val="22"/>
          <w:szCs w:val="22"/>
          <w:shd w:fill="FFFFFF" w:val="clear"/>
        </w:rPr>
        <w:t>Vu l’avis préalable du CST du………………..</w:t>
      </w:r>
    </w:p>
    <w:p>
      <w:pPr>
        <w:pStyle w:val="Modle-Introduction"/>
        <w:spacing w:before="0" w:after="0"/>
        <w:rPr>
          <w:rFonts w:ascii="Calibri Light" w:hAnsi="Calibri Light" w:cs="Times New Roman"/>
          <w:b w:val="false"/>
          <w:bCs w:val="false"/>
          <w:i w:val="false"/>
          <w:i w:val="false"/>
          <w:iCs/>
          <w:sz w:val="22"/>
          <w:szCs w:val="22"/>
          <w:highlight w:val="none"/>
          <w:shd w:fill="FFFFFF" w:val="clear"/>
        </w:rPr>
      </w:pPr>
      <w:r>
        <w:rPr>
          <w:rFonts w:cs="Times New Roman" w:ascii="Calibri Light" w:hAnsi="Calibri Light"/>
          <w:b w:val="false"/>
          <w:bCs w:val="false"/>
          <w:i w:val="false"/>
          <w:iCs/>
          <w:sz w:val="22"/>
          <w:szCs w:val="22"/>
          <w:shd w:fill="FFFFFF" w:val="clear"/>
        </w:rPr>
      </w:r>
    </w:p>
    <w:p>
      <w:pPr>
        <w:pStyle w:val="Modle-Introduction"/>
        <w:spacing w:before="0" w:after="0"/>
        <w:rPr>
          <w:rFonts w:ascii="Calibri Light" w:hAnsi="Calibri Light" w:cs="Times New Roman"/>
          <w:b/>
          <w:bCs/>
          <w:i w:val="false"/>
          <w:i w:val="false"/>
          <w:iCs/>
          <w:sz w:val="22"/>
          <w:szCs w:val="22"/>
        </w:rPr>
      </w:pPr>
      <w:r>
        <w:rPr>
          <w:rFonts w:cs="Times New Roman" w:ascii="Calibri Light" w:hAnsi="Calibri Light"/>
          <w:b/>
          <w:bCs/>
          <w:i w:val="false"/>
          <w:iCs/>
          <w:sz w:val="22"/>
          <w:szCs w:val="22"/>
        </w:rPr>
        <w:t>Il est proposé au conseil :</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Modle-Introduction"/>
        <w:spacing w:before="0" w:after="0"/>
        <w:jc w:val="both"/>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t xml:space="preserve">- </w:t>
      </w:r>
      <w:r>
        <w:rPr>
          <w:rFonts w:cs="Times New Roman" w:ascii="Calibri Light" w:hAnsi="Calibri Light"/>
          <w:b/>
          <w:bCs/>
          <w:i w:val="false"/>
          <w:iCs/>
          <w:sz w:val="22"/>
          <w:szCs w:val="22"/>
        </w:rPr>
        <w:t>D’adopter</w:t>
      </w:r>
      <w:r>
        <w:rPr>
          <w:rFonts w:cs="Times New Roman" w:ascii="Calibri Light" w:hAnsi="Calibri Light"/>
          <w:b w:val="false"/>
          <w:bCs w:val="false"/>
          <w:i w:val="false"/>
          <w:iCs/>
          <w:sz w:val="22"/>
          <w:szCs w:val="22"/>
        </w:rPr>
        <w:t xml:space="preserve"> l</w:t>
      </w:r>
      <w:r>
        <w:rPr>
          <w:rFonts w:cs="Times New Roman" w:ascii="Calibri Light" w:hAnsi="Calibri Light"/>
          <w:b w:val="false"/>
          <w:bCs/>
          <w:i w:val="false"/>
          <w:iCs/>
          <w:sz w:val="22"/>
          <w:szCs w:val="22"/>
        </w:rPr>
        <w:t>’accord collectif local du 10 juillet 2024 i</w:t>
      </w:r>
      <w:r>
        <w:rPr>
          <w:rFonts w:cs="Times New Roman" w:ascii="Calibri Light" w:hAnsi="Calibri Light"/>
          <w:b w:val="false"/>
          <w:bCs w:val="false"/>
          <w:i w:val="false"/>
          <w:iCs/>
          <w:sz w:val="22"/>
          <w:szCs w:val="22"/>
        </w:rPr>
        <w:t xml:space="preserve">nstituant un régime complémentaire de remboursement de «  frais de santé » au bénéfice des agents des collectivités territoriales du département de la Lozère. </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Modle-Introduction"/>
        <w:spacing w:before="0" w:after="0"/>
        <w:jc w:val="both"/>
        <w:rPr>
          <w:rFonts w:ascii="Calibri Light" w:hAnsi="Calibri Light"/>
          <w:sz w:val="22"/>
          <w:szCs w:val="22"/>
        </w:rPr>
      </w:pPr>
      <w:r>
        <w:rPr>
          <w:rFonts w:cs="Times New Roman" w:ascii="Calibri Light" w:hAnsi="Calibri Light"/>
          <w:b/>
          <w:i w:val="false"/>
          <w:iCs/>
          <w:sz w:val="22"/>
          <w:szCs w:val="22"/>
        </w:rPr>
        <w:t>Le conseil décide après en avoir délibéré :</w:t>
      </w:r>
    </w:p>
    <w:p>
      <w:pPr>
        <w:pStyle w:val="Modle-Introduction"/>
        <w:spacing w:before="0" w:after="0"/>
        <w:jc w:val="center"/>
        <w:rPr>
          <w:rFonts w:ascii="Calibri Light" w:hAnsi="Calibri Light"/>
          <w:sz w:val="22"/>
          <w:szCs w:val="22"/>
        </w:rPr>
      </w:pPr>
      <w:r>
        <w:rPr>
          <w:rFonts w:ascii="Calibri Light" w:hAnsi="Calibri Light"/>
          <w:sz w:val="22"/>
          <w:szCs w:val="22"/>
        </w:rPr>
      </w:r>
    </w:p>
    <w:p>
      <w:pPr>
        <w:pStyle w:val="Modle-Introduction"/>
        <w:spacing w:before="0" w:after="0"/>
        <w:jc w:val="both"/>
        <w:rPr>
          <w:rFonts w:ascii="Calibri Light" w:hAnsi="Calibri Light"/>
          <w:sz w:val="22"/>
          <w:szCs w:val="22"/>
        </w:rPr>
      </w:pPr>
      <w:r>
        <w:rPr>
          <w:rFonts w:cs="Times New Roman" w:ascii="Calibri Light" w:hAnsi="Calibri Light"/>
          <w:bCs/>
          <w:i w:val="false"/>
          <w:iCs/>
          <w:sz w:val="22"/>
          <w:szCs w:val="22"/>
        </w:rPr>
        <w:t xml:space="preserve">- </w:t>
      </w:r>
      <w:r>
        <w:rPr>
          <w:rFonts w:cs="Times New Roman" w:ascii="Calibri Light" w:hAnsi="Calibri Light"/>
          <w:b/>
          <w:bCs/>
          <w:i w:val="false"/>
          <w:iCs/>
          <w:sz w:val="22"/>
          <w:szCs w:val="22"/>
        </w:rPr>
        <w:t xml:space="preserve">D’adopter </w:t>
      </w:r>
      <w:r>
        <w:rPr>
          <w:rFonts w:cs="Times New Roman" w:ascii="Calibri Light" w:hAnsi="Calibri Light"/>
          <w:bCs/>
          <w:i w:val="false"/>
          <w:iCs/>
          <w:sz w:val="22"/>
          <w:szCs w:val="22"/>
        </w:rPr>
        <w:t>l’accord collectif local du 10 juillet 2024 i</w:t>
      </w:r>
      <w:r>
        <w:rPr>
          <w:rFonts w:cs="Times New Roman" w:ascii="Calibri Light" w:hAnsi="Calibri Light"/>
          <w:b w:val="false"/>
          <w:bCs w:val="false"/>
          <w:i w:val="false"/>
          <w:iCs/>
          <w:sz w:val="22"/>
          <w:szCs w:val="22"/>
        </w:rPr>
        <w:t>nstituant un régime complémentaire de remboursement de «  frais de santé » au bénéfice des agents des collectivités territoriales du département de la Lozère.</w:t>
      </w:r>
    </w:p>
    <w:p>
      <w:pPr>
        <w:pStyle w:val="Modle-Introduction"/>
        <w:spacing w:before="0" w:after="0"/>
        <w:jc w:val="both"/>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Normal"/>
        <w:jc w:val="both"/>
        <w:rPr>
          <w:rFonts w:ascii="Calibri Light" w:hAnsi="Calibri Light"/>
          <w:sz w:val="22"/>
          <w:szCs w:val="22"/>
        </w:rPr>
      </w:pPr>
      <w:r>
        <w:rPr>
          <w:rFonts w:ascii="Calibri Light" w:hAnsi="Calibri Light"/>
          <w:sz w:val="22"/>
          <w:szCs w:val="22"/>
        </w:rPr>
      </w:r>
    </w:p>
    <w:p>
      <w:pPr>
        <w:pStyle w:val="Normal"/>
        <w:ind w:hanging="1418" w:left="1418"/>
        <w:jc w:val="both"/>
        <w:rPr>
          <w:rFonts w:ascii="Calibri Light" w:hAnsi="Calibri Light" w:eastAsia="Times New Roman" w:cs="Times New Roman"/>
          <w:b/>
          <w:bCs/>
          <w:sz w:val="22"/>
          <w:szCs w:val="22"/>
        </w:rPr>
      </w:pPr>
      <w:r>
        <w:rPr>
          <w:rFonts w:eastAsia="Times New Roman" w:cs="Times New Roman" w:ascii="Calibri Light" w:hAnsi="Calibri Light"/>
          <w:b/>
          <w:bCs/>
          <w:sz w:val="22"/>
          <w:szCs w:val="22"/>
        </w:rPr>
      </w:r>
    </w:p>
    <w:p>
      <w:pPr>
        <w:pStyle w:val="Normal"/>
        <w:ind w:hanging="1418" w:left="1418"/>
        <w:jc w:val="both"/>
        <w:rPr>
          <w:rFonts w:ascii="Calibri Light" w:hAnsi="Calibri Light" w:eastAsia="Times New Roman" w:cs="Times New Roman"/>
          <w:b/>
          <w:bCs/>
          <w:sz w:val="22"/>
          <w:szCs w:val="22"/>
        </w:rPr>
      </w:pPr>
      <w:r>
        <w:rPr>
          <w:rFonts w:eastAsia="Times New Roman" w:cs="Times New Roman" w:ascii="Calibri Light" w:hAnsi="Calibri Light"/>
          <w:b/>
          <w:bCs/>
          <w:sz w:val="22"/>
          <w:szCs w:val="22"/>
        </w:rPr>
      </w:r>
    </w:p>
    <w:p>
      <w:pPr>
        <w:pStyle w:val="Normal"/>
        <w:ind w:hanging="1418" w:left="1418"/>
        <w:jc w:val="both"/>
        <w:rPr>
          <w:rFonts w:ascii="Calibri Light" w:hAnsi="Calibri Light"/>
          <w:sz w:val="22"/>
          <w:szCs w:val="22"/>
        </w:rPr>
      </w:pPr>
      <w:r>
        <w:rPr>
          <w:rFonts w:eastAsia="Times New Roman" w:cs="Times New Roman" w:ascii="Calibri Light" w:hAnsi="Calibri Light"/>
          <w:b/>
          <w:bCs/>
          <w:sz w:val="22"/>
          <w:szCs w:val="22"/>
        </w:rPr>
        <w:t xml:space="preserve">ADOPTÉ </w:t>
      </w:r>
      <w:r>
        <w:rPr>
          <w:rFonts w:eastAsia="Times New Roman" w:cs="Times New Roman" w:ascii="Calibri Light" w:hAnsi="Calibri Light"/>
          <w:sz w:val="22"/>
          <w:szCs w:val="22"/>
        </w:rPr>
        <w:t xml:space="preserve">: </w:t>
        <w:tab/>
        <w:t>à l’unanimité des membres présents</w:t>
      </w:r>
    </w:p>
    <w:p>
      <w:pPr>
        <w:pStyle w:val="Normal"/>
        <w:ind w:firstLine="424" w:left="992"/>
        <w:jc w:val="both"/>
        <w:rPr>
          <w:rFonts w:ascii="Calibri Light" w:hAnsi="Calibri Light" w:eastAsia="Times New Roman" w:cs="Times New Roman"/>
          <w:sz w:val="22"/>
          <w:szCs w:val="22"/>
        </w:rPr>
      </w:pPr>
      <w:r>
        <w:rPr>
          <w:rFonts w:eastAsia="Times New Roman" w:cs="Times New Roman" w:ascii="Calibri Light" w:hAnsi="Calibri Light"/>
          <w:sz w:val="22"/>
          <w:szCs w:val="22"/>
        </w:rPr>
        <w:t>ou</w:t>
      </w:r>
    </w:p>
    <w:p>
      <w:pPr>
        <w:pStyle w:val="Normal"/>
        <w:ind w:firstLine="425" w:left="992"/>
        <w:jc w:val="both"/>
        <w:rPr>
          <w:rFonts w:ascii="Calibri Light" w:hAnsi="Calibri Light" w:eastAsia="Times New Roman" w:cs="Times New Roman"/>
          <w:sz w:val="22"/>
          <w:szCs w:val="22"/>
        </w:rPr>
      </w:pPr>
      <w:r>
        <w:rPr>
          <w:rFonts w:eastAsia="Times New Roman" w:cs="Times New Roman" w:ascii="Calibri Light" w:hAnsi="Calibri Light"/>
          <w:sz w:val="22"/>
          <w:szCs w:val="22"/>
        </w:rPr>
        <w:t>à ... voix pour</w:t>
      </w:r>
    </w:p>
    <w:p>
      <w:pPr>
        <w:pStyle w:val="Normal"/>
        <w:ind w:firstLine="425" w:left="992"/>
        <w:jc w:val="both"/>
        <w:rPr>
          <w:rFonts w:ascii="Calibri Light" w:hAnsi="Calibri Light" w:eastAsia="Times New Roman" w:cs="Times New Roman"/>
          <w:sz w:val="22"/>
          <w:szCs w:val="22"/>
        </w:rPr>
      </w:pPr>
      <w:r>
        <w:rPr>
          <w:rFonts w:eastAsia="Times New Roman" w:cs="Times New Roman" w:ascii="Calibri Light" w:hAnsi="Calibri Light"/>
          <w:sz w:val="22"/>
          <w:szCs w:val="22"/>
        </w:rPr>
        <w:t>à ... voix contre</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abstention</w:t>
      </w:r>
      <w:r>
        <w:rPr>
          <w:rFonts w:eastAsia="Times New Roman" w:cs="Times New Roman" w:ascii="Calibri Light" w:hAnsi="Calibri Light"/>
          <w:i/>
          <w:iCs/>
          <w:sz w:val="22"/>
          <w:szCs w:val="22"/>
        </w:rPr>
        <w:t>(s)</w:t>
      </w:r>
    </w:p>
    <w:p>
      <w:pPr>
        <w:pStyle w:val="Normal"/>
        <w:jc w:val="both"/>
        <w:rPr>
          <w:rFonts w:ascii="Calibri Light" w:hAnsi="Calibri Light" w:eastAsia="Times New Roman" w:cs="Times New Roman"/>
          <w:iCs/>
          <w:sz w:val="22"/>
          <w:szCs w:val="22"/>
        </w:rPr>
      </w:pPr>
      <w:r>
        <w:rPr>
          <w:rFonts w:eastAsia="Times New Roman" w:cs="Times New Roman" w:ascii="Calibri Light" w:hAnsi="Calibri Light"/>
          <w:iCs/>
          <w:sz w:val="22"/>
          <w:szCs w:val="22"/>
        </w:rPr>
      </w:r>
    </w:p>
    <w:p>
      <w:pPr>
        <w:pStyle w:val="Normal"/>
        <w:ind w:firstLine="425" w:left="992"/>
        <w:jc w:val="both"/>
        <w:rPr>
          <w:rFonts w:ascii="Calibri Light" w:hAnsi="Calibri Light" w:eastAsia="Times New Roman" w:cs="Times New Roman"/>
          <w:i/>
          <w:i/>
          <w:iCs/>
          <w:sz w:val="22"/>
          <w:szCs w:val="22"/>
        </w:rPr>
      </w:pPr>
      <w:r>
        <w:rPr>
          <w:rFonts w:eastAsia="Times New Roman" w:cs="Times New Roman" w:ascii="Calibri Light" w:hAnsi="Calibri Light"/>
          <w:i/>
          <w:iCs/>
          <w:sz w:val="22"/>
          <w:szCs w:val="22"/>
        </w:rPr>
      </w:r>
    </w:p>
    <w:p>
      <w:pPr>
        <w:pStyle w:val="Normal"/>
        <w:tabs>
          <w:tab w:val="clear" w:pos="708"/>
          <w:tab w:val="left" w:pos="4820" w:leader="none"/>
          <w:tab w:val="right" w:pos="6663" w:leader="none"/>
          <w:tab w:val="right" w:pos="9923" w:leader="none"/>
        </w:tabs>
        <w:rPr>
          <w:rFonts w:ascii="Calibri Light" w:hAnsi="Calibri Light" w:eastAsia="Times New Roman" w:cs="Times New Roman"/>
          <w:sz w:val="22"/>
          <w:szCs w:val="22"/>
        </w:rPr>
      </w:pPr>
      <w:r>
        <w:rPr>
          <w:rFonts w:eastAsia="Times New Roman" w:cs="Times New Roman" w:ascii="Calibri Light" w:hAnsi="Calibri Light"/>
          <w:sz w:val="22"/>
          <w:szCs w:val="22"/>
        </w:rPr>
        <w:tab/>
        <w:t xml:space="preserve">Fait à. ..., </w:t>
      </w:r>
    </w:p>
    <w:p>
      <w:pPr>
        <w:pStyle w:val="Normal"/>
        <w:tabs>
          <w:tab w:val="clear" w:pos="708"/>
          <w:tab w:val="left" w:pos="4820" w:leader="none"/>
          <w:tab w:val="right" w:pos="6663" w:leader="none"/>
          <w:tab w:val="right" w:pos="9923" w:leader="none"/>
        </w:tabs>
        <w:rPr>
          <w:rFonts w:ascii="Calibri Light" w:hAnsi="Calibri Light" w:eastAsia="Times New Roman" w:cs="Times New Roman"/>
          <w:sz w:val="22"/>
          <w:szCs w:val="22"/>
        </w:rPr>
      </w:pPr>
      <w:r>
        <w:rPr>
          <w:rFonts w:eastAsia="Times New Roman" w:cs="Times New Roman" w:ascii="Calibri Light" w:hAnsi="Calibri Light"/>
          <w:sz w:val="22"/>
          <w:szCs w:val="22"/>
        </w:rPr>
        <w:tab/>
        <w:t>le …,</w:t>
      </w:r>
    </w:p>
    <w:p>
      <w:pPr>
        <w:pStyle w:val="Normal"/>
        <w:tabs>
          <w:tab w:val="clear" w:pos="708"/>
          <w:tab w:val="left" w:pos="4820"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r>
      <w:r>
        <w:rPr>
          <w:rFonts w:eastAsia="Times New Roman" w:cs="Times New Roman" w:ascii="Calibri Light" w:hAnsi="Calibri Light"/>
          <w:sz w:val="22"/>
          <w:szCs w:val="22"/>
          <w:u w:val="single"/>
          <w:shd w:fill="FFFFFF" w:val="clear"/>
        </w:rPr>
        <w:t>Prénom, nom et qualité du signataire</w:t>
      </w:r>
    </w:p>
    <w:p>
      <w:pPr>
        <w:pStyle w:val="Normal"/>
        <w:tabs>
          <w:tab w:val="clear" w:pos="708"/>
          <w:tab w:val="right" w:pos="6663" w:leader="none"/>
          <w:tab w:val="right" w:pos="9923" w:leader="none"/>
        </w:tabs>
        <w:rPr>
          <w:rFonts w:ascii="Calibri Light" w:hAnsi="Calibri Light" w:eastAsia="Times New Roman" w:cs="Times New Roman"/>
          <w:i/>
          <w:i/>
          <w:iCs/>
          <w:sz w:val="22"/>
          <w:szCs w:val="22"/>
          <w:highlight w:val="none"/>
          <w:shd w:fill="FFFFFF" w:val="clear"/>
        </w:rPr>
      </w:pPr>
      <w:r>
        <w:rPr>
          <w:rFonts w:eastAsia="Times New Roman" w:cs="Times New Roman" w:ascii="Calibri Light" w:hAnsi="Calibri Light"/>
          <w:i/>
          <w:iCs/>
          <w:sz w:val="22"/>
          <w:szCs w:val="22"/>
          <w:shd w:fill="FFFFFF" w:val="clear"/>
        </w:rPr>
      </w:r>
    </w:p>
    <w:p>
      <w:pPr>
        <w:pStyle w:val="Normal"/>
        <w:tabs>
          <w:tab w:val="clear" w:pos="708"/>
          <w:tab w:val="right" w:pos="6663" w:leader="none"/>
          <w:tab w:val="right" w:pos="9923" w:leader="none"/>
        </w:tabs>
        <w:rPr>
          <w:rFonts w:ascii="Calibri Light" w:hAnsi="Calibri Light" w:eastAsia="Times New Roman" w:cs="Times New Roman"/>
          <w:i/>
          <w:i/>
          <w:iCs/>
          <w:sz w:val="22"/>
          <w:szCs w:val="22"/>
        </w:rPr>
      </w:pPr>
      <w:r>
        <w:rPr>
          <w:rFonts w:eastAsia="Times New Roman" w:cs="Times New Roman" w:ascii="Calibri Light" w:hAnsi="Calibri Light"/>
          <w:i/>
          <w:iCs/>
          <w:sz w:val="22"/>
          <w:szCs w:val="22"/>
        </w:rPr>
      </w:r>
    </w:p>
    <w:p>
      <w:pPr>
        <w:pStyle w:val="Normal"/>
        <w:tabs>
          <w:tab w:val="clear" w:pos="708"/>
          <w:tab w:val="right" w:pos="6663" w:leader="none"/>
          <w:tab w:val="right" w:pos="9923" w:leader="none"/>
        </w:tabs>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Normal"/>
        <w:widowControl w:val="false"/>
        <w:numPr>
          <w:ilvl w:val="0"/>
          <w:numId w:val="2"/>
        </w:numPr>
        <w:jc w:val="both"/>
        <w:rPr>
          <w:rFonts w:ascii="Calibri Light" w:hAnsi="Calibri Light" w:eastAsia="Times New Roman" w:cs="Times New Roman"/>
          <w:b/>
          <w:bCs/>
          <w:sz w:val="22"/>
          <w:szCs w:val="22"/>
        </w:rPr>
      </w:pPr>
      <w:r>
        <w:rPr>
          <w:rFonts w:eastAsia="Times New Roman" w:cs="Times New Roman" w:ascii="Calibri Light" w:hAnsi="Calibri Light"/>
          <w:b/>
          <w:bCs/>
          <w:sz w:val="22"/>
          <w:szCs w:val="22"/>
        </w:rPr>
        <w:t>Transmis au représentant de l’Etat le :…………………...</w:t>
      </w:r>
    </w:p>
    <w:p>
      <w:pPr>
        <w:pStyle w:val="Normal"/>
        <w:widowControl w:val="false"/>
        <w:numPr>
          <w:ilvl w:val="0"/>
          <w:numId w:val="2"/>
        </w:numPr>
        <w:jc w:val="both"/>
        <w:rPr>
          <w:rFonts w:ascii="Calibri Light" w:hAnsi="Calibri Light" w:eastAsia="Times New Roman" w:cs="Times New Roman"/>
          <w:b/>
          <w:bCs/>
          <w:sz w:val="22"/>
          <w:szCs w:val="22"/>
        </w:rPr>
      </w:pPr>
      <w:r>
        <w:rPr>
          <w:rFonts w:eastAsia="Times New Roman" w:cs="Times New Roman" w:ascii="Calibri Light" w:hAnsi="Calibri Light"/>
          <w:b/>
          <w:bCs/>
          <w:sz w:val="22"/>
          <w:szCs w:val="22"/>
        </w:rPr>
        <w:t>Publié le : ……………………………………………………………..</w:t>
      </w:r>
    </w:p>
    <w:p>
      <w:pPr>
        <w:pStyle w:val="Normal"/>
        <w:widowControl w:val="false"/>
        <w:shd w:val="clear" w:fill="FFFFFF"/>
        <w:tabs>
          <w:tab w:val="clear" w:pos="708"/>
          <w:tab w:val="left" w:pos="3420" w:leader="none"/>
        </w:tabs>
        <w:ind w:firstLine="567"/>
        <w:jc w:val="both"/>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Heading2"/>
        <w:tabs>
          <w:tab w:val="clear" w:pos="708"/>
          <w:tab w:val="left" w:pos="6480" w:leader="none"/>
        </w:tabs>
        <w:spacing w:lineRule="atLeast" w:line="20"/>
        <w:ind w:hanging="0" w:left="0"/>
        <w:jc w:val="both"/>
        <w:rPr>
          <w:rFonts w:ascii="Calibri Light" w:hAnsi="Calibri Light" w:eastAsia="Calibri" w:cs="Calibri Light"/>
          <w:bCs/>
          <w:kern w:val="2"/>
          <w:sz w:val="22"/>
          <w:szCs w:val="22"/>
          <w:lang w:eastAsia="zh-CN" w:bidi="hi-IN"/>
        </w:rPr>
      </w:pPr>
      <w:r>
        <w:rPr>
          <w:rFonts w:eastAsia="Calibri" w:cs="Calibri Light" w:ascii="Calibri Light" w:hAnsi="Calibri Light"/>
          <w:bCs/>
          <w:kern w:val="2"/>
          <w:sz w:val="22"/>
          <w:szCs w:val="22"/>
          <w:lang w:eastAsia="zh-CN" w:bidi="hi-IN"/>
        </w:rPr>
      </w:r>
    </w:p>
    <w:p>
      <w:pPr>
        <w:pStyle w:val="Normal"/>
        <w:tabs>
          <w:tab w:val="clear" w:pos="708"/>
          <w:tab w:val="left" w:pos="4820" w:leader="none"/>
        </w:tabs>
        <w:spacing w:lineRule="atLeast" w:line="20"/>
        <w:jc w:val="both"/>
        <w:rPr/>
      </w:pPr>
      <w:r>
        <w:rPr>
          <w:rFonts w:eastAsia="Calibri" w:cs="Calibri Light" w:ascii="Calibri Light" w:hAnsi="Calibri Light"/>
          <w:bCs/>
          <w:kern w:val="2"/>
          <w:sz w:val="22"/>
          <w:szCs w:val="22"/>
          <w:lang w:eastAsia="zh-CN" w:bidi="hi-IN"/>
        </w:rPr>
        <w:t xml:space="preserve">Le Président certifie sous sa responsabilité le caractère exécutoire de cet acte. La présente décision peut faire l’objet, dans un délai de deux mois à compter de sa publication et/ou notification, d’un recours contentieux par courrier adressé au Tribunal administratif de Nîmes, 6 Av. Feuchères, 30000 Nîmes, ou par l'application Télérecours citoyens accessible à partir du site </w:t>
      </w:r>
      <w:hyperlink r:id="rId2">
        <w:r>
          <w:rPr>
            <w:rStyle w:val="Hyperlink"/>
            <w:rFonts w:eastAsia="Arial Unicode MS" w:cs="Calibri Light" w:ascii="Calibri Light" w:hAnsi="Calibri Light"/>
            <w:bCs/>
            <w:kern w:val="2"/>
            <w:sz w:val="22"/>
            <w:szCs w:val="22"/>
            <w:lang w:eastAsia="zh-CN" w:bidi="hi-IN"/>
          </w:rPr>
          <w:t>www.telerecours.fr</w:t>
        </w:r>
      </w:hyperlink>
      <w:r>
        <w:rPr>
          <w:rFonts w:eastAsia="Calibri" w:cs="Calibri Light" w:ascii="Calibri Light" w:hAnsi="Calibri Light"/>
          <w:bCs/>
          <w:kern w:val="2"/>
          <w:sz w:val="22"/>
          <w:szCs w:val="22"/>
          <w:lang w:eastAsia="zh-CN" w:bidi="hi-IN"/>
        </w:rPr>
        <w:t>.</w:t>
      </w:r>
    </w:p>
    <w:p>
      <w:pPr>
        <w:pStyle w:val="Normal"/>
        <w:tabs>
          <w:tab w:val="clear" w:pos="708"/>
          <w:tab w:val="left" w:pos="0" w:leader="none"/>
        </w:tabs>
        <w:jc w:val="both"/>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Modle-Introduction"/>
        <w:spacing w:before="0" w:after="0"/>
        <w:jc w:val="both"/>
        <w:rPr>
          <w:rFonts w:ascii="Calibri Light" w:hAnsi="Calibri Light" w:cs="Times New Roman"/>
          <w:b/>
          <w:i w:val="false"/>
          <w:i w:val="false"/>
          <w:iCs/>
          <w:sz w:val="22"/>
          <w:szCs w:val="22"/>
        </w:rPr>
      </w:pPr>
      <w:r>
        <w:rPr>
          <w:rFonts w:cs="Times New Roman" w:ascii="Calibri Light" w:hAnsi="Calibri Light"/>
          <w:b/>
          <w:i w:val="false"/>
          <w:iCs/>
          <w:sz w:val="22"/>
          <w:szCs w:val="22"/>
        </w:rPr>
      </w:r>
    </w:p>
    <w:p>
      <w:pPr>
        <w:pStyle w:val="Normal"/>
        <w:rPr>
          <w:rFonts w:ascii="Calibri Light" w:hAnsi="Calibri Light"/>
          <w:sz w:val="22"/>
          <w:szCs w:val="22"/>
        </w:rPr>
      </w:pPr>
      <w:r>
        <w:rPr>
          <w:rFonts w:ascii="Calibri Light" w:hAnsi="Calibri Light"/>
          <w:sz w:val="22"/>
          <w:szCs w:val="22"/>
        </w:rPr>
      </w:r>
    </w:p>
    <w:sectPr>
      <w:footerReference w:type="even" r:id="rId3"/>
      <w:footerReference w:type="default" r:id="rId4"/>
      <w:footerReference w:type="first" r:id="rId5"/>
      <w:type w:val="nextPage"/>
      <w:pgSz w:w="11906" w:h="16838"/>
      <w:pgMar w:left="1134" w:right="1134" w:gutter="0" w:header="0" w:top="1276" w:footer="851"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Calibri Light">
    <w:charset w:val="00"/>
    <w:family w:val="roman"/>
    <w:pitch w:val="variable"/>
  </w:font>
  <w:font w:name="Wingdings 2">
    <w:charset w:val="02"/>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Wingdings 2" w:hAnsi="Wingdings 2" w:cs="Wingdings 2"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fr-FR"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40" w:before="0" w:after="0"/>
      <w:jc w:val="left"/>
    </w:pPr>
    <w:rPr>
      <w:rFonts w:ascii="Calibri" w:hAnsi="Calibri" w:eastAsia="Calibri" w:cs="Tahoma"/>
      <w:color w:val="auto"/>
      <w:kern w:val="0"/>
      <w:sz w:val="22"/>
      <w:szCs w:val="24"/>
      <w:lang w:val="fr-FR" w:eastAsia="fr-FR" w:bidi="ar-SA"/>
    </w:rPr>
  </w:style>
  <w:style w:type="paragraph" w:styleId="Heading2">
    <w:name w:val="Heading 2"/>
    <w:basedOn w:val="Normal"/>
    <w:next w:val="Normal"/>
    <w:qFormat/>
    <w:pPr>
      <w:keepNext w:val="true"/>
      <w:numPr>
        <w:ilvl w:val="0"/>
        <w:numId w:val="0"/>
      </w:numPr>
      <w:jc w:val="both"/>
      <w:outlineLvl w:val="1"/>
    </w:pPr>
    <w:rPr>
      <w:rFonts w:eastAsia="Arial Unicode MS"/>
      <w:b/>
      <w:bCs/>
      <w:i/>
      <w:iCs/>
      <w:color w:val="800080"/>
    </w:rPr>
  </w:style>
  <w:style w:type="character" w:styleId="DefaultParagraphFont">
    <w:name w:val="Default Paragraph Font"/>
    <w:qFormat/>
    <w:rPr/>
  </w:style>
  <w:style w:type="character" w:styleId="PieddepageCar">
    <w:name w:val="Pied de page Car"/>
    <w:basedOn w:val="DefaultParagraphFont"/>
    <w:qFormat/>
    <w:rPr>
      <w:rFonts w:ascii="Calibri" w:hAnsi="Calibri" w:eastAsia="Calibri"/>
      <w:szCs w:val="24"/>
      <w:lang w:eastAsia="fr-FR"/>
    </w:rPr>
  </w:style>
  <w:style w:type="character" w:styleId="SignatureCar">
    <w:name w:val="Signature Car"/>
    <w:basedOn w:val="DefaultParagraphFont"/>
    <w:link w:val="Signature"/>
    <w:qFormat/>
    <w:rPr>
      <w:rFonts w:ascii="Arial" w:hAnsi="Arial" w:eastAsia="Times New Roman" w:cs="Times New Roman"/>
      <w:sz w:val="20"/>
      <w:szCs w:val="20"/>
      <w:lang w:eastAsia="fr-FR"/>
    </w:rPr>
  </w:style>
  <w:style w:type="character" w:styleId="En-tteCar">
    <w:name w:val="En-tête Car"/>
    <w:basedOn w:val="DefaultParagraphFont"/>
    <w:qFormat/>
    <w:rPr>
      <w:rFonts w:ascii="Calibri" w:hAnsi="Calibri" w:eastAsia="Calibri"/>
      <w:szCs w:val="24"/>
      <w:lang w:eastAsia="fr-FR"/>
    </w:rPr>
  </w:style>
  <w:style w:type="character" w:styleId="Hyperlink">
    <w:name w:val="Hyperlink"/>
    <w:rPr>
      <w:color w:val="000080"/>
      <w:u w:val="single"/>
    </w:rPr>
  </w:style>
  <w:style w:type="character" w:styleId="Policepardfaut">
    <w:name w:val="Police par défaut"/>
    <w:qFormat/>
    <w:rPr/>
  </w:style>
  <w:style w:type="character" w:styleId="Caractresdenumrotation">
    <w:name w:val="Caractères de numérotation"/>
    <w:qFormat/>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Modle-Titre1">
    <w:name w:val="Modèle - Titre 1"/>
    <w:basedOn w:val="Normal"/>
    <w:next w:val="Normal"/>
    <w:qFormat/>
    <w:pPr>
      <w:widowControl w:val="false"/>
      <w:suppressAutoHyphens w:val="true"/>
      <w:jc w:val="center"/>
    </w:pPr>
    <w:rPr>
      <w:rFonts w:eastAsia="SimSun" w:cs="Lucida Sans"/>
      <w:b/>
      <w:bCs/>
      <w:caps/>
      <w:color w:themeColor="dark1" w:val="000000"/>
      <w:kern w:val="2"/>
      <w:sz w:val="36"/>
      <w:szCs w:val="22"/>
      <w:lang w:eastAsia="hi-IN" w:bidi="hi-IN"/>
    </w:rPr>
  </w:style>
  <w:style w:type="paragraph" w:styleId="En-tteetpieddepage">
    <w:name w:val="En-tête et pied de page"/>
    <w:basedOn w:val="Normal"/>
    <w:qFormat/>
    <w:pPr/>
    <w:rPr/>
  </w:style>
  <w:style w:type="paragraph" w:styleId="Footer">
    <w:name w:val="Footer"/>
    <w:basedOn w:val="Normal"/>
    <w:link w:val="PieddepageCar"/>
    <w:pPr>
      <w:tabs>
        <w:tab w:val="clear" w:pos="708"/>
        <w:tab w:val="center" w:pos="4536" w:leader="none"/>
        <w:tab w:val="right" w:pos="9072" w:leader="none"/>
      </w:tabs>
    </w:pPr>
    <w:rPr/>
  </w:style>
  <w:style w:type="paragraph" w:styleId="Modle-Numrodepage">
    <w:name w:val="Modèle - Numéro de page"/>
    <w:qFormat/>
    <w:pPr>
      <w:widowControl/>
      <w:suppressAutoHyphens w:val="true"/>
      <w:overflowPunct w:val="true"/>
      <w:bidi w:val="0"/>
      <w:spacing w:lineRule="auto" w:line="240" w:before="0" w:after="0"/>
      <w:ind w:right="-8"/>
      <w:jc w:val="left"/>
    </w:pPr>
    <w:rPr>
      <w:rFonts w:ascii="Calibri Light" w:hAnsi="Calibri Light" w:eastAsia="SimSun" w:cs="Calibri Light"/>
      <w:color w:val="auto"/>
      <w:kern w:val="2"/>
      <w:sz w:val="20"/>
      <w:szCs w:val="20"/>
      <w:lang w:val="fr-FR" w:eastAsia="hi-IN" w:bidi="hi-IN"/>
    </w:rPr>
  </w:style>
  <w:style w:type="paragraph" w:styleId="Modle-Introduction">
    <w:name w:val="Modèle - Introduction"/>
    <w:qFormat/>
    <w:pPr>
      <w:widowControl/>
      <w:suppressAutoHyphens w:val="true"/>
      <w:overflowPunct w:val="true"/>
      <w:bidi w:val="0"/>
      <w:spacing w:lineRule="auto" w:line="240" w:before="360" w:after="0"/>
      <w:jc w:val="left"/>
    </w:pPr>
    <w:rPr>
      <w:rFonts w:ascii="Calibri" w:hAnsi="Calibri" w:eastAsia="Calibri" w:cs="Calibri Light"/>
      <w:i/>
      <w:color w:val="auto"/>
      <w:kern w:val="0"/>
      <w:sz w:val="22"/>
      <w:szCs w:val="24"/>
      <w:lang w:val="fr-FR" w:eastAsia="fr-FR" w:bidi="ar-SA"/>
    </w:rPr>
  </w:style>
  <w:style w:type="paragraph" w:styleId="ListParagraph">
    <w:name w:val="List Paragraph"/>
    <w:basedOn w:val="Normal"/>
    <w:qFormat/>
    <w:pPr>
      <w:numPr>
        <w:ilvl w:val="0"/>
        <w:numId w:val="1"/>
      </w:numPr>
      <w:spacing w:lineRule="auto" w:line="288" w:before="0" w:after="0"/>
      <w:contextualSpacing/>
    </w:pPr>
    <w:rPr>
      <w:rFonts w:ascii="Arial" w:hAnsi="Arial"/>
      <w:sz w:val="20"/>
    </w:rPr>
  </w:style>
  <w:style w:type="paragraph" w:styleId="VuConsidrant">
    <w:name w:val="Vu.Considérant"/>
    <w:basedOn w:val="Normal"/>
    <w:qFormat/>
    <w:pPr>
      <w:spacing w:before="0" w:after="140"/>
      <w:jc w:val="both"/>
    </w:pPr>
    <w:rPr>
      <w:rFonts w:ascii="Arial" w:hAnsi="Arial" w:eastAsia="Times New Roman" w:cs="Arial"/>
      <w:sz w:val="20"/>
      <w:szCs w:val="20"/>
    </w:rPr>
  </w:style>
  <w:style w:type="paragraph" w:styleId="Signature">
    <w:name w:val="Signature"/>
    <w:basedOn w:val="Normal"/>
    <w:link w:val="SignatureCar"/>
    <w:pPr>
      <w:tabs>
        <w:tab w:val="clear" w:pos="708"/>
        <w:tab w:val="right" w:pos="6663" w:leader="none"/>
        <w:tab w:val="right" w:pos="9923" w:leader="none"/>
      </w:tabs>
      <w:ind w:left="4252"/>
      <w:jc w:val="center"/>
    </w:pPr>
    <w:rPr>
      <w:rFonts w:ascii="Arial" w:hAnsi="Arial" w:eastAsia="Times New Roman" w:cs="Times New Roman"/>
      <w:sz w:val="20"/>
      <w:szCs w:val="20"/>
    </w:rPr>
  </w:style>
  <w:style w:type="paragraph" w:styleId="Notifi">
    <w:name w:val="notifié à"/>
    <w:basedOn w:val="Normal"/>
    <w:qFormat/>
    <w:pPr>
      <w:ind w:left="567"/>
      <w:jc w:val="both"/>
    </w:pPr>
    <w:rPr>
      <w:rFonts w:ascii="Arial" w:hAnsi="Arial" w:eastAsia="Times New Roman" w:cs="Arial"/>
      <w:b/>
      <w:bCs/>
      <w:sz w:val="20"/>
      <w:szCs w:val="20"/>
    </w:rPr>
  </w:style>
  <w:style w:type="paragraph" w:styleId="TiretVuConsidrant">
    <w:name w:val="Tiret Vu.Considérant"/>
    <w:basedOn w:val="VuConsidrant"/>
    <w:qFormat/>
    <w:pPr>
      <w:ind w:hanging="284" w:left="284"/>
    </w:pPr>
    <w:rPr/>
  </w:style>
  <w:style w:type="paragraph" w:styleId="Header">
    <w:name w:val="Header"/>
    <w:basedOn w:val="Normal"/>
    <w:link w:val="En-tteCar"/>
    <w:pPr>
      <w:tabs>
        <w:tab w:val="clear" w:pos="708"/>
        <w:tab w:val="center" w:pos="4536" w:leader="none"/>
        <w:tab w:val="right" w:pos="9072"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elerecours.fr/"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142</TotalTime>
  <Application>LibreOffice/24.2.2.2$Windows_X86_64 LibreOffice_project/d56cc158d8a96260b836f100ef4b4ef25d6f1a01</Application>
  <AppVersion>15.0000</AppVersion>
  <Pages>3</Pages>
  <Words>1021</Words>
  <Characters>5754</Characters>
  <CharactersWithSpaces>6745</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2022-01-27T12:43:00Z</dcterms:created>
  <dc:creator>DOE Julien</dc:creator>
  <dc:description/>
  <dc:language>fr-FR</dc:language>
  <cp:lastModifiedBy/>
  <cp:lastPrinted>2024-07-24T13:58:32Z</cp:lastPrinted>
  <dcterms:modified xsi:type="dcterms:W3CDTF">2024-07-24T13:58:57Z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